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sz w:val="32"/>
          <w:szCs w:val="32"/>
          <w:lang w:val="en-US" w:eastAsia="zh-CN"/>
        </w:rPr>
      </w:pPr>
      <w:r>
        <w:rPr>
          <w:rFonts w:hint="eastAsia"/>
          <w:b/>
          <w:sz w:val="32"/>
          <w:szCs w:val="32"/>
          <w:lang w:val="en-US" w:eastAsia="zh-CN"/>
        </w:rPr>
        <w:t xml:space="preserve"> </w:t>
      </w:r>
    </w:p>
    <w:p>
      <w:pPr>
        <w:spacing w:line="360" w:lineRule="auto"/>
        <w:jc w:val="center"/>
        <w:rPr>
          <w:b/>
          <w:sz w:val="44"/>
          <w:szCs w:val="44"/>
        </w:rPr>
      </w:pPr>
      <w:r>
        <w:rPr>
          <w:rFonts w:hint="eastAsia"/>
          <w:b/>
          <w:sz w:val="44"/>
          <w:szCs w:val="44"/>
        </w:rPr>
        <w:t>四川</w:t>
      </w:r>
      <w:r>
        <w:rPr>
          <w:rFonts w:hint="eastAsia"/>
          <w:b/>
          <w:sz w:val="44"/>
          <w:szCs w:val="44"/>
          <w:lang w:val="en-US" w:eastAsia="zh-CN"/>
        </w:rPr>
        <w:t>川投燃气发电</w:t>
      </w:r>
      <w:r>
        <w:rPr>
          <w:rFonts w:hint="eastAsia"/>
          <w:b/>
          <w:sz w:val="44"/>
          <w:szCs w:val="44"/>
        </w:rPr>
        <w:t>有限责任公司</w:t>
      </w:r>
    </w:p>
    <w:p>
      <w:pPr>
        <w:spacing w:line="360" w:lineRule="auto"/>
        <w:jc w:val="center"/>
        <w:rPr>
          <w:b/>
          <w:sz w:val="36"/>
          <w:szCs w:val="36"/>
        </w:rPr>
      </w:pPr>
    </w:p>
    <w:p>
      <w:pPr>
        <w:spacing w:line="360" w:lineRule="auto"/>
        <w:jc w:val="center"/>
        <w:rPr>
          <w:rFonts w:hint="eastAsia" w:eastAsia="宋体"/>
          <w:b/>
          <w:sz w:val="36"/>
          <w:szCs w:val="36"/>
          <w:lang w:eastAsia="zh-CN"/>
        </w:rPr>
      </w:pPr>
      <w:r>
        <w:rPr>
          <w:rFonts w:hint="eastAsia"/>
          <w:b/>
          <w:sz w:val="36"/>
          <w:szCs w:val="36"/>
          <w:lang w:val="en-US" w:eastAsia="zh-CN"/>
        </w:rPr>
        <w:t>2021年度土建维护项目</w:t>
      </w:r>
    </w:p>
    <w:p>
      <w:pPr>
        <w:spacing w:line="360" w:lineRule="auto"/>
        <w:jc w:val="center"/>
        <w:rPr>
          <w:rFonts w:hint="eastAsia" w:eastAsia="宋体"/>
          <w:b/>
          <w:sz w:val="36"/>
          <w:szCs w:val="36"/>
          <w:lang w:eastAsia="zh-CN"/>
        </w:rPr>
      </w:pPr>
      <w:r>
        <w:rPr>
          <w:rFonts w:hint="eastAsia"/>
          <w:b/>
          <w:sz w:val="36"/>
          <w:szCs w:val="36"/>
          <w:lang w:val="en-US" w:eastAsia="zh-CN"/>
        </w:rPr>
        <w:t>维护单位</w:t>
      </w:r>
    </w:p>
    <w:p>
      <w:pPr>
        <w:spacing w:line="360" w:lineRule="auto"/>
        <w:rPr>
          <w:b/>
          <w:sz w:val="32"/>
          <w:szCs w:val="32"/>
        </w:rPr>
      </w:pPr>
    </w:p>
    <w:p>
      <w:pPr>
        <w:spacing w:line="360" w:lineRule="auto"/>
        <w:jc w:val="center"/>
        <w:rPr>
          <w:rFonts w:ascii="黑体" w:eastAsia="黑体"/>
          <w:b/>
          <w:sz w:val="72"/>
          <w:szCs w:val="72"/>
        </w:rPr>
      </w:pPr>
      <w:r>
        <w:rPr>
          <w:rFonts w:hint="eastAsia" w:ascii="黑体" w:eastAsia="黑体"/>
          <w:b/>
          <w:sz w:val="72"/>
          <w:szCs w:val="72"/>
        </w:rPr>
        <w:t>比</w:t>
      </w:r>
    </w:p>
    <w:p>
      <w:pPr>
        <w:spacing w:line="360" w:lineRule="auto"/>
        <w:jc w:val="center"/>
        <w:rPr>
          <w:rFonts w:ascii="黑体" w:eastAsia="黑体"/>
          <w:b/>
          <w:sz w:val="72"/>
          <w:szCs w:val="72"/>
        </w:rPr>
      </w:pPr>
      <w:r>
        <w:rPr>
          <w:rFonts w:hint="eastAsia" w:ascii="黑体" w:eastAsia="黑体"/>
          <w:b/>
          <w:sz w:val="72"/>
          <w:szCs w:val="72"/>
        </w:rPr>
        <w:t>选</w:t>
      </w:r>
    </w:p>
    <w:p>
      <w:pPr>
        <w:spacing w:line="360" w:lineRule="auto"/>
        <w:jc w:val="center"/>
        <w:rPr>
          <w:rFonts w:ascii="黑体" w:eastAsia="黑体"/>
          <w:b/>
          <w:sz w:val="72"/>
          <w:szCs w:val="72"/>
        </w:rPr>
      </w:pPr>
      <w:r>
        <w:rPr>
          <w:rFonts w:hint="eastAsia" w:ascii="黑体" w:eastAsia="黑体"/>
          <w:b/>
          <w:sz w:val="72"/>
          <w:szCs w:val="72"/>
        </w:rPr>
        <w:t>文</w:t>
      </w:r>
    </w:p>
    <w:p>
      <w:pPr>
        <w:spacing w:line="360" w:lineRule="auto"/>
        <w:jc w:val="center"/>
        <w:rPr>
          <w:sz w:val="44"/>
          <w:szCs w:val="44"/>
        </w:rPr>
      </w:pPr>
      <w:r>
        <w:rPr>
          <w:rFonts w:hint="eastAsia" w:ascii="黑体" w:eastAsia="黑体"/>
          <w:b/>
          <w:sz w:val="72"/>
          <w:szCs w:val="72"/>
        </w:rPr>
        <w:t>件</w:t>
      </w:r>
    </w:p>
    <w:p>
      <w:pPr>
        <w:spacing w:line="360" w:lineRule="auto"/>
        <w:ind w:firstLine="880" w:firstLineChars="200"/>
        <w:rPr>
          <w:sz w:val="44"/>
          <w:szCs w:val="44"/>
        </w:rPr>
      </w:pPr>
    </w:p>
    <w:p>
      <w:pPr>
        <w:spacing w:line="360" w:lineRule="auto"/>
        <w:ind w:firstLine="880" w:firstLineChars="200"/>
        <w:rPr>
          <w:sz w:val="44"/>
          <w:szCs w:val="44"/>
        </w:rPr>
      </w:pPr>
    </w:p>
    <w:p>
      <w:pPr>
        <w:spacing w:line="360" w:lineRule="auto"/>
        <w:ind w:firstLine="1280" w:firstLineChars="400"/>
        <w:jc w:val="both"/>
        <w:rPr>
          <w:sz w:val="32"/>
          <w:szCs w:val="32"/>
          <w:u w:val="single"/>
        </w:rPr>
      </w:pPr>
      <w:r>
        <w:rPr>
          <w:rFonts w:hint="eastAsia"/>
          <w:sz w:val="32"/>
          <w:szCs w:val="32"/>
        </w:rPr>
        <w:t>项目名称：</w:t>
      </w:r>
      <w:r>
        <w:rPr>
          <w:rFonts w:hint="eastAsia"/>
          <w:sz w:val="32"/>
          <w:szCs w:val="32"/>
          <w:u w:val="single"/>
          <w:lang w:val="en-US" w:eastAsia="zh-CN"/>
        </w:rPr>
        <w:t>2021年度土建维护项目</w:t>
      </w:r>
    </w:p>
    <w:p>
      <w:pPr>
        <w:spacing w:line="360" w:lineRule="auto"/>
        <w:ind w:firstLine="1280" w:firstLineChars="400"/>
        <w:rPr>
          <w:sz w:val="32"/>
          <w:szCs w:val="32"/>
          <w:u w:val="single"/>
        </w:rPr>
      </w:pPr>
      <w:r>
        <w:rPr>
          <w:rFonts w:hint="eastAsia"/>
          <w:sz w:val="32"/>
          <w:szCs w:val="32"/>
        </w:rPr>
        <w:t>比 选 人：</w:t>
      </w:r>
      <w:r>
        <w:rPr>
          <w:rFonts w:hint="eastAsia"/>
          <w:sz w:val="32"/>
          <w:szCs w:val="32"/>
          <w:u w:val="single"/>
        </w:rPr>
        <w:t>四川</w:t>
      </w:r>
      <w:r>
        <w:rPr>
          <w:rFonts w:hint="eastAsia"/>
          <w:sz w:val="32"/>
          <w:szCs w:val="32"/>
          <w:u w:val="single"/>
          <w:lang w:val="en-US" w:eastAsia="zh-CN"/>
        </w:rPr>
        <w:t>川投燃气发电</w:t>
      </w:r>
      <w:r>
        <w:rPr>
          <w:rFonts w:hint="eastAsia"/>
          <w:sz w:val="32"/>
          <w:szCs w:val="32"/>
          <w:u w:val="single"/>
        </w:rPr>
        <w:t>有限责任公司</w:t>
      </w:r>
    </w:p>
    <w:p>
      <w:pPr>
        <w:spacing w:line="360" w:lineRule="auto"/>
        <w:rPr>
          <w:sz w:val="32"/>
          <w:szCs w:val="32"/>
          <w:u w:val="single"/>
        </w:rPr>
      </w:pPr>
    </w:p>
    <w:p>
      <w:pPr>
        <w:spacing w:line="360" w:lineRule="auto"/>
        <w:rPr>
          <w:sz w:val="32"/>
          <w:szCs w:val="32"/>
          <w:u w:val="single"/>
        </w:rPr>
      </w:pPr>
    </w:p>
    <w:p>
      <w:pPr>
        <w:spacing w:line="360" w:lineRule="auto"/>
        <w:jc w:val="center"/>
        <w:rPr>
          <w:rFonts w:ascii="仿宋_GB2312" w:eastAsia="仿宋_GB2312"/>
          <w:sz w:val="28"/>
          <w:szCs w:val="28"/>
        </w:rPr>
      </w:pPr>
      <w:r>
        <w:rPr>
          <w:rFonts w:hint="eastAsia"/>
          <w:sz w:val="32"/>
          <w:szCs w:val="32"/>
        </w:rPr>
        <w:t>二〇</w:t>
      </w:r>
      <w:r>
        <w:rPr>
          <w:rFonts w:hint="eastAsia"/>
          <w:sz w:val="32"/>
          <w:szCs w:val="32"/>
          <w:lang w:val="en-US" w:eastAsia="zh-CN"/>
        </w:rPr>
        <w:t>二一年一</w:t>
      </w:r>
      <w:r>
        <w:rPr>
          <w:rFonts w:hint="eastAsia"/>
          <w:sz w:val="32"/>
          <w:szCs w:val="32"/>
        </w:rPr>
        <w:t>月</w:t>
      </w:r>
      <w:r>
        <w:rPr>
          <w:rFonts w:hint="eastAsia"/>
          <w:sz w:val="32"/>
          <w:szCs w:val="32"/>
          <w:lang w:val="en-US" w:eastAsia="zh-CN"/>
        </w:rPr>
        <w:t>五</w:t>
      </w:r>
      <w:r>
        <w:rPr>
          <w:rFonts w:hint="eastAsia"/>
          <w:sz w:val="32"/>
          <w:szCs w:val="32"/>
        </w:rPr>
        <w:t>日</w:t>
      </w:r>
      <w:r>
        <w:rPr>
          <w:sz w:val="32"/>
          <w:szCs w:val="32"/>
        </w:rPr>
        <w:br w:type="page"/>
      </w:r>
      <w:r>
        <w:rPr>
          <w:rFonts w:hint="eastAsia" w:ascii="仿宋_GB2312" w:eastAsia="仿宋_GB2312"/>
          <w:sz w:val="28"/>
          <w:szCs w:val="28"/>
        </w:rPr>
        <w:t xml:space="preserve">  </w:t>
      </w:r>
    </w:p>
    <w:p>
      <w:pPr>
        <w:spacing w:line="360" w:lineRule="auto"/>
        <w:ind w:left="480"/>
        <w:jc w:val="center"/>
        <w:rPr>
          <w:rFonts w:ascii="黑体" w:eastAsia="黑体"/>
          <w:b/>
          <w:sz w:val="36"/>
          <w:szCs w:val="36"/>
        </w:rPr>
      </w:pPr>
      <w:bookmarkStart w:id="0" w:name="_Toc44141193"/>
      <w:bookmarkStart w:id="1" w:name="_Toc17186211"/>
      <w:bookmarkStart w:id="2" w:name="_Toc109212584"/>
      <w:bookmarkStart w:id="3" w:name="_Toc16393651"/>
      <w:r>
        <w:rPr>
          <w:rFonts w:hint="eastAsia" w:ascii="黑体" w:eastAsia="黑体"/>
          <w:b/>
          <w:sz w:val="36"/>
          <w:szCs w:val="36"/>
        </w:rPr>
        <w:t>目     录</w:t>
      </w:r>
    </w:p>
    <w:p>
      <w:pPr>
        <w:pStyle w:val="20"/>
        <w:tabs>
          <w:tab w:val="right" w:leader="dot" w:pos="8789"/>
          <w:tab w:val="clear" w:pos="1695"/>
          <w:tab w:val="clear" w:pos="8280"/>
        </w:tabs>
        <w:ind w:left="0" w:leftChars="0" w:firstLine="480" w:firstLineChars="200"/>
      </w:pPr>
      <w:r>
        <w:rPr>
          <w:rFonts w:hint="eastAsia"/>
        </w:rPr>
        <w:fldChar w:fldCharType="begin"/>
      </w:r>
      <w:r>
        <w:rPr>
          <w:rFonts w:hint="eastAsia"/>
        </w:rPr>
        <w:instrText xml:space="preserve"> TOC \o "1-3" \h \z \u </w:instrText>
      </w:r>
      <w:r>
        <w:rPr>
          <w:rFonts w:hint="eastAsia"/>
        </w:rPr>
        <w:fldChar w:fldCharType="separate"/>
      </w:r>
      <w:r>
        <w:rPr>
          <w:rFonts w:hint="eastAsia"/>
        </w:rPr>
        <w:fldChar w:fldCharType="begin"/>
      </w:r>
      <w:r>
        <w:rPr>
          <w:rFonts w:hint="eastAsia"/>
        </w:rPr>
        <w:instrText xml:space="preserve"> HYPERLINK \l _Toc10013 </w:instrText>
      </w:r>
      <w:r>
        <w:rPr>
          <w:rFonts w:hint="eastAsia"/>
        </w:rPr>
        <w:fldChar w:fldCharType="separate"/>
      </w:r>
      <w:r>
        <w:rPr>
          <w:rFonts w:hint="eastAsia"/>
          <w:lang w:val="en-US" w:eastAsia="zh-CN"/>
        </w:rPr>
        <w:t>第一章</w:t>
      </w:r>
      <w:r>
        <w:rPr>
          <w:rFonts w:hint="eastAsia"/>
        </w:rPr>
        <w:t xml:space="preserve"> 比选公告</w:t>
      </w:r>
      <w:r>
        <w:tab/>
      </w:r>
      <w:r>
        <w:fldChar w:fldCharType="begin"/>
      </w:r>
      <w:r>
        <w:instrText xml:space="preserve"> PAGEREF _Toc10013 </w:instrText>
      </w:r>
      <w:r>
        <w:fldChar w:fldCharType="separate"/>
      </w:r>
      <w:r>
        <w:t>3</w:t>
      </w:r>
      <w:r>
        <w:fldChar w:fldCharType="end"/>
      </w:r>
      <w:r>
        <w:rPr>
          <w:rFonts w:hint="eastAsia"/>
        </w:rPr>
        <w:fldChar w:fldCharType="end"/>
      </w:r>
    </w:p>
    <w:p>
      <w:pPr>
        <w:pStyle w:val="19"/>
        <w:tabs>
          <w:tab w:val="right" w:leader="dot" w:pos="8789"/>
          <w:tab w:val="clear" w:pos="8296"/>
        </w:tabs>
      </w:pPr>
      <w:r>
        <w:rPr>
          <w:rFonts w:hint="eastAsia"/>
        </w:rPr>
        <w:fldChar w:fldCharType="begin"/>
      </w:r>
      <w:r>
        <w:rPr>
          <w:rFonts w:hint="eastAsia"/>
        </w:rPr>
        <w:instrText xml:space="preserve"> HYPERLINK \l _Toc9085 </w:instrText>
      </w:r>
      <w:r>
        <w:rPr>
          <w:rFonts w:hint="eastAsia"/>
        </w:rPr>
        <w:fldChar w:fldCharType="separate"/>
      </w:r>
      <w:r>
        <w:rPr>
          <w:rFonts w:hint="eastAsia"/>
        </w:rPr>
        <w:t>第一章 比选申请人资格要求</w:t>
      </w:r>
      <w:r>
        <w:tab/>
      </w:r>
      <w:r>
        <w:fldChar w:fldCharType="begin"/>
      </w:r>
      <w:r>
        <w:instrText xml:space="preserve"> PAGEREF _Toc9085 </w:instrText>
      </w:r>
      <w:r>
        <w:fldChar w:fldCharType="separate"/>
      </w:r>
      <w:r>
        <w:t>6</w:t>
      </w:r>
      <w:r>
        <w:fldChar w:fldCharType="end"/>
      </w:r>
      <w:r>
        <w:rPr>
          <w:rFonts w:hint="eastAsia"/>
        </w:rPr>
        <w:fldChar w:fldCharType="end"/>
      </w:r>
    </w:p>
    <w:p>
      <w:pPr>
        <w:pStyle w:val="19"/>
        <w:tabs>
          <w:tab w:val="right" w:leader="dot" w:pos="8789"/>
          <w:tab w:val="clear" w:pos="8296"/>
        </w:tabs>
      </w:pPr>
      <w:r>
        <w:rPr>
          <w:rFonts w:hint="eastAsia"/>
        </w:rPr>
        <w:fldChar w:fldCharType="begin"/>
      </w:r>
      <w:r>
        <w:rPr>
          <w:rFonts w:hint="eastAsia"/>
        </w:rPr>
        <w:instrText xml:space="preserve"> HYPERLINK \l _Toc118 </w:instrText>
      </w:r>
      <w:r>
        <w:rPr>
          <w:rFonts w:hint="eastAsia"/>
        </w:rPr>
        <w:fldChar w:fldCharType="separate"/>
      </w:r>
      <w:r>
        <w:rPr>
          <w:rFonts w:hint="eastAsia"/>
        </w:rPr>
        <w:t>第二章 比选申请人须知</w:t>
      </w:r>
      <w:r>
        <w:tab/>
      </w:r>
      <w:r>
        <w:fldChar w:fldCharType="begin"/>
      </w:r>
      <w:r>
        <w:instrText xml:space="preserve"> PAGEREF _Toc118 </w:instrText>
      </w:r>
      <w:r>
        <w:fldChar w:fldCharType="separate"/>
      </w:r>
      <w:r>
        <w:t>7</w:t>
      </w:r>
      <w:r>
        <w:fldChar w:fldCharType="end"/>
      </w:r>
      <w:r>
        <w:rPr>
          <w:rFonts w:hint="eastAsia"/>
        </w:rPr>
        <w:fldChar w:fldCharType="end"/>
      </w:r>
    </w:p>
    <w:p>
      <w:pPr>
        <w:pStyle w:val="19"/>
        <w:tabs>
          <w:tab w:val="right" w:leader="dot" w:pos="8789"/>
          <w:tab w:val="clear" w:pos="8296"/>
        </w:tabs>
      </w:pPr>
      <w:r>
        <w:rPr>
          <w:rFonts w:hint="eastAsia"/>
        </w:rPr>
        <w:fldChar w:fldCharType="begin"/>
      </w:r>
      <w:r>
        <w:rPr>
          <w:rFonts w:hint="eastAsia"/>
        </w:rPr>
        <w:instrText xml:space="preserve"> HYPERLINK \l _Toc4528 </w:instrText>
      </w:r>
      <w:r>
        <w:rPr>
          <w:rFonts w:hint="eastAsia"/>
        </w:rPr>
        <w:fldChar w:fldCharType="separate"/>
      </w:r>
      <w:r>
        <w:rPr>
          <w:rFonts w:hint="eastAsia"/>
        </w:rPr>
        <w:t>第三章 比选评审办法</w:t>
      </w:r>
      <w:r>
        <w:tab/>
      </w:r>
      <w:r>
        <w:fldChar w:fldCharType="begin"/>
      </w:r>
      <w:r>
        <w:instrText xml:space="preserve"> PAGEREF _Toc4528 </w:instrText>
      </w:r>
      <w:r>
        <w:fldChar w:fldCharType="separate"/>
      </w:r>
      <w:r>
        <w:t>12</w:t>
      </w:r>
      <w:r>
        <w:fldChar w:fldCharType="end"/>
      </w:r>
      <w:r>
        <w:rPr>
          <w:rFonts w:hint="eastAsia"/>
        </w:rPr>
        <w:fldChar w:fldCharType="end"/>
      </w:r>
    </w:p>
    <w:p>
      <w:pPr>
        <w:pStyle w:val="19"/>
        <w:tabs>
          <w:tab w:val="right" w:leader="dot" w:pos="8789"/>
          <w:tab w:val="clear" w:pos="8296"/>
        </w:tabs>
      </w:pPr>
      <w:r>
        <w:rPr>
          <w:rFonts w:hint="eastAsia"/>
        </w:rPr>
        <w:fldChar w:fldCharType="begin"/>
      </w:r>
      <w:r>
        <w:rPr>
          <w:rFonts w:hint="eastAsia"/>
        </w:rPr>
        <w:instrText xml:space="preserve"> HYPERLINK \l _Toc23746 </w:instrText>
      </w:r>
      <w:r>
        <w:rPr>
          <w:rFonts w:hint="eastAsia"/>
        </w:rPr>
        <w:fldChar w:fldCharType="separate"/>
      </w:r>
      <w:r>
        <w:rPr>
          <w:rFonts w:hint="eastAsia"/>
        </w:rPr>
        <w:t>第四章 编制比选申请文件</w:t>
      </w:r>
      <w:r>
        <w:tab/>
      </w:r>
      <w:r>
        <w:fldChar w:fldCharType="begin"/>
      </w:r>
      <w:r>
        <w:instrText xml:space="preserve"> PAGEREF _Toc23746 </w:instrText>
      </w:r>
      <w:r>
        <w:fldChar w:fldCharType="separate"/>
      </w:r>
      <w:r>
        <w:t>15</w:t>
      </w:r>
      <w:r>
        <w:fldChar w:fldCharType="end"/>
      </w:r>
      <w:r>
        <w:rPr>
          <w:rFonts w:hint="eastAsia"/>
        </w:rPr>
        <w:fldChar w:fldCharType="end"/>
      </w:r>
    </w:p>
    <w:p>
      <w:pPr>
        <w:pStyle w:val="20"/>
        <w:tabs>
          <w:tab w:val="right" w:leader="dot" w:pos="8789"/>
          <w:tab w:val="clear" w:pos="1695"/>
          <w:tab w:val="clear" w:pos="8280"/>
        </w:tabs>
      </w:pPr>
      <w:r>
        <w:rPr>
          <w:rFonts w:hint="eastAsia"/>
        </w:rPr>
        <w:fldChar w:fldCharType="begin"/>
      </w:r>
      <w:r>
        <w:rPr>
          <w:rFonts w:hint="eastAsia"/>
        </w:rPr>
        <w:instrText xml:space="preserve"> HYPERLINK \l _Toc10248 </w:instrText>
      </w:r>
      <w:r>
        <w:rPr>
          <w:rFonts w:hint="eastAsia"/>
        </w:rPr>
        <w:fldChar w:fldCharType="separate"/>
      </w:r>
      <w:r>
        <w:rPr>
          <w:rFonts w:hint="eastAsia" w:asciiTheme="majorEastAsia" w:hAnsiTheme="majorEastAsia" w:eastAsiaTheme="majorEastAsia" w:cstheme="majorEastAsia"/>
        </w:rPr>
        <w:t>二、 比选申请文件的组成</w:t>
      </w:r>
      <w:r>
        <w:tab/>
      </w:r>
      <w:r>
        <w:fldChar w:fldCharType="begin"/>
      </w:r>
      <w:r>
        <w:instrText xml:space="preserve"> PAGEREF _Toc10248 </w:instrText>
      </w:r>
      <w:r>
        <w:fldChar w:fldCharType="separate"/>
      </w:r>
      <w:r>
        <w:t>15</w:t>
      </w:r>
      <w:r>
        <w:fldChar w:fldCharType="end"/>
      </w:r>
      <w:r>
        <w:rPr>
          <w:rFonts w:hint="eastAsia"/>
        </w:rPr>
        <w:fldChar w:fldCharType="end"/>
      </w:r>
    </w:p>
    <w:p>
      <w:pPr>
        <w:pStyle w:val="20"/>
        <w:tabs>
          <w:tab w:val="right" w:leader="dot" w:pos="8789"/>
          <w:tab w:val="clear" w:pos="1695"/>
          <w:tab w:val="clear" w:pos="8280"/>
        </w:tabs>
      </w:pPr>
      <w:r>
        <w:rPr>
          <w:rFonts w:hint="eastAsia"/>
        </w:rPr>
        <w:fldChar w:fldCharType="begin"/>
      </w:r>
      <w:r>
        <w:rPr>
          <w:rFonts w:hint="eastAsia"/>
        </w:rPr>
        <w:instrText xml:space="preserve"> HYPERLINK \l _Toc22514 </w:instrText>
      </w:r>
      <w:r>
        <w:rPr>
          <w:rFonts w:hint="eastAsia"/>
        </w:rPr>
        <w:fldChar w:fldCharType="separate"/>
      </w:r>
      <w:r>
        <w:rPr>
          <w:rFonts w:hint="eastAsia"/>
        </w:rPr>
        <w:t>三、 比选报价书</w:t>
      </w:r>
      <w:r>
        <w:tab/>
      </w:r>
      <w:r>
        <w:fldChar w:fldCharType="begin"/>
      </w:r>
      <w:r>
        <w:instrText xml:space="preserve"> PAGEREF _Toc22514 </w:instrText>
      </w:r>
      <w:r>
        <w:fldChar w:fldCharType="separate"/>
      </w:r>
      <w:r>
        <w:t>17</w:t>
      </w:r>
      <w:r>
        <w:fldChar w:fldCharType="end"/>
      </w:r>
      <w:r>
        <w:rPr>
          <w:rFonts w:hint="eastAsia"/>
        </w:rPr>
        <w:fldChar w:fldCharType="end"/>
      </w:r>
    </w:p>
    <w:p>
      <w:pPr>
        <w:pStyle w:val="20"/>
        <w:tabs>
          <w:tab w:val="right" w:leader="dot" w:pos="8789"/>
          <w:tab w:val="clear" w:pos="1695"/>
          <w:tab w:val="clear" w:pos="8280"/>
        </w:tabs>
      </w:pPr>
      <w:r>
        <w:rPr>
          <w:rFonts w:hint="eastAsia"/>
        </w:rPr>
        <w:fldChar w:fldCharType="begin"/>
      </w:r>
      <w:r>
        <w:rPr>
          <w:rFonts w:hint="eastAsia"/>
        </w:rPr>
        <w:instrText xml:space="preserve"> HYPERLINK \l _Toc3442 </w:instrText>
      </w:r>
      <w:r>
        <w:rPr>
          <w:rFonts w:hint="eastAsia"/>
        </w:rPr>
        <w:fldChar w:fldCharType="separate"/>
      </w:r>
      <w:r>
        <w:rPr>
          <w:rFonts w:hint="eastAsia"/>
        </w:rPr>
        <w:t>四、 授权委托书</w:t>
      </w:r>
      <w:r>
        <w:tab/>
      </w:r>
      <w:r>
        <w:fldChar w:fldCharType="begin"/>
      </w:r>
      <w:r>
        <w:instrText xml:space="preserve"> PAGEREF _Toc3442 </w:instrText>
      </w:r>
      <w:r>
        <w:fldChar w:fldCharType="separate"/>
      </w:r>
      <w:r>
        <w:t>18</w:t>
      </w:r>
      <w:r>
        <w:fldChar w:fldCharType="end"/>
      </w:r>
      <w:r>
        <w:rPr>
          <w:rFonts w:hint="eastAsia"/>
        </w:rPr>
        <w:fldChar w:fldCharType="end"/>
      </w:r>
    </w:p>
    <w:p>
      <w:pPr>
        <w:pStyle w:val="20"/>
        <w:tabs>
          <w:tab w:val="right" w:leader="dot" w:pos="8789"/>
          <w:tab w:val="clear" w:pos="1695"/>
          <w:tab w:val="clear" w:pos="8280"/>
        </w:tabs>
      </w:pPr>
      <w:r>
        <w:rPr>
          <w:rFonts w:hint="eastAsia"/>
        </w:rPr>
        <w:fldChar w:fldCharType="begin"/>
      </w:r>
      <w:r>
        <w:rPr>
          <w:rFonts w:hint="eastAsia"/>
        </w:rPr>
        <w:instrText xml:space="preserve"> HYPERLINK \l _Toc28140 </w:instrText>
      </w:r>
      <w:r>
        <w:rPr>
          <w:rFonts w:hint="eastAsia"/>
        </w:rPr>
        <w:fldChar w:fldCharType="separate"/>
      </w:r>
      <w:r>
        <w:rPr>
          <w:rFonts w:hint="eastAsia"/>
        </w:rPr>
        <w:t>五、 比选申请人承诺函</w:t>
      </w:r>
      <w:r>
        <w:tab/>
      </w:r>
      <w:r>
        <w:fldChar w:fldCharType="begin"/>
      </w:r>
      <w:r>
        <w:instrText xml:space="preserve"> PAGEREF _Toc28140 </w:instrText>
      </w:r>
      <w:r>
        <w:fldChar w:fldCharType="separate"/>
      </w:r>
      <w:r>
        <w:t>19</w:t>
      </w:r>
      <w:r>
        <w:fldChar w:fldCharType="end"/>
      </w:r>
      <w:r>
        <w:rPr>
          <w:rFonts w:hint="eastAsia"/>
        </w:rPr>
        <w:fldChar w:fldCharType="end"/>
      </w:r>
    </w:p>
    <w:p>
      <w:pPr>
        <w:tabs>
          <w:tab w:val="left" w:pos="8610"/>
        </w:tabs>
        <w:spacing w:line="360" w:lineRule="auto"/>
        <w:rPr>
          <w:rFonts w:hint="eastAsia"/>
        </w:rPr>
      </w:pPr>
      <w:r>
        <w:rPr>
          <w:rFonts w:hint="eastAsia"/>
        </w:rPr>
        <w:fldChar w:fldCharType="end"/>
      </w:r>
      <w:r>
        <w:rPr>
          <w:rFonts w:hint="eastAsia"/>
          <w:lang w:val="en-US" w:eastAsia="zh-CN"/>
        </w:rPr>
        <w:t xml:space="preserve">         </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outlineLvl w:val="9"/>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
      <w:pPr>
        <w:pStyle w:val="3"/>
        <w:numPr>
          <w:ilvl w:val="0"/>
          <w:numId w:val="3"/>
        </w:numPr>
        <w:spacing w:line="360" w:lineRule="auto"/>
        <w:rPr>
          <w:rFonts w:hint="eastAsia" w:ascii="Times New Roman" w:hAnsi="Times New Roman" w:cs="Times New Roman"/>
        </w:rPr>
      </w:pPr>
      <w:bookmarkStart w:id="4" w:name="_Toc10013"/>
      <w:r>
        <w:rPr>
          <w:rFonts w:hint="eastAsia" w:ascii="Times New Roman" w:hAnsi="Times New Roman" w:cs="Times New Roman"/>
        </w:rPr>
        <w:t>比选公告</w:t>
      </w:r>
      <w:bookmarkEnd w:id="4"/>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四川川投燃气发电有限责任公司（以下简称“川投气电”或“比选人”）拟对2021年度土建维护项目工作，根据领导批示和《四川川投燃气发电有限责任公司招投标管理制度》，现将通过公开比选方式选聘服务单位提供土建维护工作服务，欢迎符合资质条件的服务单位申请参加比选活动。</w:t>
      </w:r>
    </w:p>
    <w:p>
      <w:pPr>
        <w:numPr>
          <w:ilvl w:val="0"/>
          <w:numId w:val="4"/>
        </w:numPr>
        <w:spacing w:line="360" w:lineRule="auto"/>
        <w:ind w:firstLine="482" w:firstLineChars="20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工程地点</w:t>
      </w:r>
    </w:p>
    <w:p>
      <w:pPr>
        <w:numPr>
          <w:ilvl w:val="0"/>
          <w:numId w:val="0"/>
        </w:num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招标方主厂区、净水站、进泵房引接道路、江边取水泵房、厂外补给水管线、天然气管线、10kV线路。</w:t>
      </w:r>
    </w:p>
    <w:p>
      <w:pPr>
        <w:spacing w:line="360" w:lineRule="auto"/>
        <w:ind w:firstLine="482" w:firstLineChars="200"/>
        <w:rPr>
          <w:rFonts w:hint="eastAsia"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lang w:val="en-US" w:eastAsia="zh-CN"/>
        </w:rPr>
        <w:t>二</w:t>
      </w:r>
      <w:r>
        <w:rPr>
          <w:rFonts w:hint="eastAsia" w:asciiTheme="majorEastAsia" w:hAnsiTheme="majorEastAsia" w:eastAsiaTheme="majorEastAsia" w:cstheme="majorEastAsia"/>
          <w:b/>
          <w:bCs/>
          <w:kern w:val="0"/>
          <w:sz w:val="24"/>
        </w:rPr>
        <w:t>、委托的工作</w:t>
      </w:r>
      <w:r>
        <w:rPr>
          <w:rFonts w:hint="eastAsia" w:asciiTheme="majorEastAsia" w:hAnsiTheme="majorEastAsia" w:eastAsiaTheme="majorEastAsia" w:cstheme="majorEastAsia"/>
          <w:b/>
          <w:bCs/>
          <w:kern w:val="0"/>
          <w:sz w:val="24"/>
          <w:lang w:val="en-US" w:eastAsia="zh-CN"/>
        </w:rPr>
        <w:t>范围</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维修工程范围主要包括</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全厂所有建（构）筑物的结构维护、屋顶、屋面防水、门窗锁匙拉手等附件、墙面、楼地面、顶棚、卫生间防水、给排水系统及卫生洁具、水龙头的维护及维修；</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雨水管网、生活污水管网及其沟道、孔洞、井、坑池的淤泥清挖、封堵和疏通维护；</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楼梯、栏杆、平台等钢结构油漆防腐、架子、库房清理、附带的小型土建设计施工等；</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临时孔洞、管沟的开凿及恢复；</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道路、广场、厂区围墙、厂区内户外固定围栏的维修；</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护坡、挡墙、排水沟、截洪沟、征地界桩等维修。厂外补给水管线线路标识的维护，取水泵房取水点（河里）浮标的维修；</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消缺 、消漏、抢修、防汛、防寒防冻项目，采暖通风设施、上水管道、地下沟道、盖板、楼梯、栏杆、及其它装饰性构件维修等；</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全厂生活家具、办公家具、电动（自动）门，建筑门窗锁、窗帘等维修；</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全厂所有绿化及功能性设施的维护、检修(含绿地灌溉系统的管道、阀门等)；</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厂区地下直埋管道、电缆沟、挖洞等在检修开挖前的绿化植被移除，及工程土回填后的植被恢复、路面恢复；</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配合工作：招标方各专业、各部门需要的其它配合工作。</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进行本标段所辖范围内的维修工作时，投标方具备办票资格的人员填写工作票、动火票及安全措施，负责全过程安全、质量、工期的控制以及在维护维修工作中执行“7S”管理，达到工完、料净、场地清，恢复原状的效果。</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详见：《四川川投燃气发电有限责任公司2021年度土建维护技术规范书》。</w:t>
      </w:r>
    </w:p>
    <w:p>
      <w:pPr>
        <w:numPr>
          <w:ilvl w:val="0"/>
          <w:numId w:val="5"/>
        </w:numPr>
        <w:spacing w:line="360" w:lineRule="auto"/>
        <w:ind w:firstLine="482" w:firstLineChars="200"/>
        <w:rPr>
          <w:rFonts w:hint="eastAsia" w:ascii="宋体" w:hAnsi="宋体"/>
          <w:sz w:val="24"/>
        </w:rPr>
      </w:pPr>
      <w:r>
        <w:rPr>
          <w:rFonts w:hint="eastAsia" w:ascii="宋体" w:hAnsi="宋体"/>
          <w:b/>
          <w:bCs/>
          <w:sz w:val="24"/>
        </w:rPr>
        <w:t>维修工作质量要求</w:t>
      </w:r>
      <w:r>
        <w:rPr>
          <w:rFonts w:hint="eastAsia" w:ascii="宋体" w:hAnsi="宋体"/>
          <w:sz w:val="24"/>
        </w:rPr>
        <w:t>：达到国家现行建设工程质量验收规范合格标准。</w:t>
      </w:r>
    </w:p>
    <w:p>
      <w:pPr>
        <w:pStyle w:val="42"/>
        <w:numPr>
          <w:ilvl w:val="0"/>
          <w:numId w:val="0"/>
        </w:numPr>
        <w:ind w:firstLine="482" w:firstLineChars="200"/>
        <w:jc w:val="both"/>
        <w:rPr>
          <w:rFonts w:hint="eastAsia" w:ascii="宋体" w:hAnsi="宋体" w:eastAsia="宋体"/>
          <w:b/>
          <w:sz w:val="24"/>
          <w:szCs w:val="24"/>
        </w:rPr>
      </w:pPr>
      <w:bookmarkStart w:id="5" w:name="_Toc1452"/>
      <w:bookmarkStart w:id="6" w:name="_Toc1881"/>
      <w:bookmarkStart w:id="7" w:name="_Toc479776145"/>
      <w:r>
        <w:rPr>
          <w:rFonts w:hint="eastAsia" w:ascii="宋体" w:hAnsi="宋体" w:eastAsia="宋体"/>
          <w:b/>
          <w:sz w:val="24"/>
          <w:szCs w:val="24"/>
          <w:lang w:val="en-US" w:eastAsia="zh-CN"/>
        </w:rPr>
        <w:t>四、</w:t>
      </w:r>
      <w:r>
        <w:rPr>
          <w:rFonts w:hint="eastAsia" w:ascii="宋体" w:hAnsi="宋体" w:eastAsia="宋体"/>
          <w:b/>
          <w:sz w:val="24"/>
          <w:szCs w:val="24"/>
        </w:rPr>
        <w:t>工作期限</w:t>
      </w:r>
      <w:bookmarkEnd w:id="5"/>
      <w:bookmarkEnd w:id="6"/>
    </w:p>
    <w:bookmarkEnd w:id="7"/>
    <w:p>
      <w:pPr>
        <w:spacing w:line="360" w:lineRule="auto"/>
        <w:ind w:firstLine="480" w:firstLineChars="200"/>
        <w:rPr>
          <w:rFonts w:hint="eastAsia" w:ascii="宋体" w:hAnsi="宋体" w:cs="宋体"/>
          <w:color w:val="000000"/>
          <w:kern w:val="0"/>
          <w:sz w:val="24"/>
          <w:lang w:val="en-US" w:eastAsia="zh-CN"/>
        </w:rPr>
      </w:pPr>
      <w:bookmarkStart w:id="8" w:name="_Toc479776146"/>
      <w:bookmarkStart w:id="9" w:name="_Toc479744311"/>
      <w:bookmarkStart w:id="10" w:name="_Toc479743270"/>
      <w:r>
        <w:rPr>
          <w:rFonts w:hint="eastAsia" w:ascii="宋体" w:hAnsi="宋体" w:cs="宋体"/>
          <w:color w:val="000000"/>
          <w:kern w:val="0"/>
          <w:sz w:val="24"/>
          <w:lang w:val="en-US" w:eastAsia="zh-CN"/>
        </w:rPr>
        <w:t>维护期限1年。</w:t>
      </w:r>
      <w:bookmarkEnd w:id="8"/>
      <w:bookmarkEnd w:id="9"/>
      <w:bookmarkEnd w:id="10"/>
    </w:p>
    <w:p>
      <w:pPr>
        <w:spacing w:line="360" w:lineRule="auto"/>
        <w:ind w:firstLine="482" w:firstLineChars="200"/>
        <w:rPr>
          <w:rFonts w:hint="eastAsia"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lang w:val="en-US" w:eastAsia="zh-CN"/>
        </w:rPr>
        <w:t>五</w:t>
      </w:r>
      <w:r>
        <w:rPr>
          <w:rFonts w:hint="eastAsia" w:asciiTheme="majorEastAsia" w:hAnsiTheme="majorEastAsia" w:eastAsiaTheme="majorEastAsia" w:cstheme="majorEastAsia"/>
          <w:b/>
          <w:bCs/>
          <w:kern w:val="0"/>
          <w:sz w:val="24"/>
        </w:rPr>
        <w:t>、对比选申请人的资格要求</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（一）资质要求</w:t>
      </w:r>
      <w:bookmarkStart w:id="11" w:name="_Toc11603"/>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投标人在中华人民共和国注册并具有独立法人资格。</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ru-RU" w:eastAsia="zh-CN"/>
        </w:rPr>
      </w:pPr>
      <w:r>
        <w:rPr>
          <w:rFonts w:hint="eastAsia"/>
          <w:b w:val="0"/>
          <w:bCs w:val="0"/>
          <w:i w:val="0"/>
          <w:iCs w:val="0"/>
          <w:smallCaps w:val="0"/>
          <w:strike w:val="0"/>
          <w:color w:val="auto"/>
          <w:spacing w:val="0"/>
          <w:w w:val="100"/>
          <w:kern w:val="0"/>
          <w:position w:val="0"/>
          <w:lang w:val="ru-RU" w:eastAsia="zh-CN"/>
        </w:rPr>
        <w:t>具有独立承担民事责任的能力</w:t>
      </w:r>
      <w:bookmarkEnd w:id="11"/>
      <w:r>
        <w:rPr>
          <w:rFonts w:hint="eastAsia"/>
          <w:b w:val="0"/>
          <w:bCs w:val="0"/>
          <w:i w:val="0"/>
          <w:iCs w:val="0"/>
          <w:smallCaps w:val="0"/>
          <w:strike w:val="0"/>
          <w:color w:val="auto"/>
          <w:spacing w:val="0"/>
          <w:w w:val="100"/>
          <w:kern w:val="0"/>
          <w:position w:val="0"/>
          <w:lang w:val="ru-RU" w:eastAsia="zh-CN"/>
        </w:rPr>
        <w:t>。</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bookmarkStart w:id="12" w:name="_Toc6765"/>
      <w:r>
        <w:rPr>
          <w:rFonts w:hint="eastAsia"/>
          <w:b w:val="0"/>
          <w:bCs w:val="0"/>
          <w:i w:val="0"/>
          <w:iCs w:val="0"/>
          <w:smallCaps w:val="0"/>
          <w:strike w:val="0"/>
          <w:color w:val="auto"/>
          <w:spacing w:val="0"/>
          <w:w w:val="100"/>
          <w:kern w:val="0"/>
          <w:position w:val="0"/>
          <w:lang w:val="en-US" w:eastAsia="zh-CN"/>
        </w:rPr>
        <w:t>建筑工程公司注册资金不低于1000万元，装饰装修类公司注册资金不低于100万元。</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具有国家建设行政主管部门颁发的防水防腐保温工程承包二级资质；装饰装修类公司必须具有建筑装修装饰工程专业承包资质三级或以上资质。具有有效的安全生产许可证。</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（二）财务要求</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ru-RU" w:eastAsia="zh-CN"/>
        </w:rPr>
        <w:t>具有良好的商业信誉和健全的财务会计制度；</w:t>
      </w:r>
      <w:bookmarkEnd w:id="12"/>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bookmarkStart w:id="13" w:name="_Toc28127"/>
      <w:r>
        <w:rPr>
          <w:rFonts w:hint="eastAsia"/>
          <w:b w:val="0"/>
          <w:bCs w:val="0"/>
          <w:i w:val="0"/>
          <w:iCs w:val="0"/>
          <w:smallCaps w:val="0"/>
          <w:strike w:val="0"/>
          <w:color w:val="auto"/>
          <w:spacing w:val="0"/>
          <w:w w:val="100"/>
          <w:kern w:val="0"/>
          <w:position w:val="0"/>
          <w:lang w:val="en-US" w:eastAsia="zh-CN"/>
        </w:rPr>
        <w:t>（三）其他要求</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具有良好的银行资信和商业信誉，没有处于被责令停业或破产状态，且资产未被重组、接管和冻结。</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近3年内不曾在任何合同中违约、被逐，或因自身原因而使任何合同被解除。</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近3年内未发生借取他人或向他人出借资质或业绩的情况。</w:t>
      </w:r>
    </w:p>
    <w:bookmarkEnd w:id="13"/>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ru-RU" w:eastAsia="zh-CN"/>
        </w:rPr>
      </w:pPr>
      <w:r>
        <w:rPr>
          <w:rFonts w:hint="eastAsia"/>
          <w:b w:val="0"/>
          <w:bCs w:val="0"/>
          <w:i w:val="0"/>
          <w:iCs w:val="0"/>
          <w:smallCaps w:val="0"/>
          <w:strike w:val="0"/>
          <w:color w:val="auto"/>
          <w:spacing w:val="0"/>
          <w:w w:val="100"/>
          <w:kern w:val="0"/>
          <w:position w:val="0"/>
          <w:lang w:val="en-US" w:eastAsia="zh-CN"/>
        </w:rPr>
        <w:t>在专业技术、人员组织、施工经验等方面具有相应资格和应急处置能力</w:t>
      </w:r>
      <w:r>
        <w:rPr>
          <w:rFonts w:hint="eastAsia"/>
          <w:b w:val="0"/>
          <w:bCs w:val="0"/>
          <w:i w:val="0"/>
          <w:iCs w:val="0"/>
          <w:smallCaps w:val="0"/>
          <w:strike w:val="0"/>
          <w:color w:val="auto"/>
          <w:spacing w:val="0"/>
          <w:w w:val="100"/>
          <w:kern w:val="0"/>
          <w:position w:val="0"/>
          <w:lang w:val="ru-RU" w:eastAsia="zh-CN"/>
        </w:rPr>
        <w:t>。</w:t>
      </w:r>
    </w:p>
    <w:p>
      <w:pPr>
        <w:spacing w:line="360" w:lineRule="auto"/>
        <w:ind w:firstLine="480" w:firstLineChars="200"/>
        <w:rPr>
          <w:rFonts w:hint="eastAsia"/>
          <w:b w:val="0"/>
          <w:bCs w:val="0"/>
          <w:i w:val="0"/>
          <w:iCs w:val="0"/>
          <w:smallCaps w:val="0"/>
          <w:strike w:val="0"/>
          <w:color w:val="auto"/>
          <w:spacing w:val="0"/>
          <w:w w:val="100"/>
          <w:kern w:val="0"/>
          <w:position w:val="0"/>
          <w:lang w:val="ru-RU" w:eastAsia="zh-CN"/>
        </w:rPr>
      </w:pPr>
      <w:r>
        <w:rPr>
          <w:rFonts w:hint="eastAsia" w:ascii="宋体" w:hAnsi="宋体" w:cs="宋体"/>
          <w:color w:val="000000"/>
          <w:kern w:val="0"/>
          <w:sz w:val="24"/>
          <w:lang w:val="en-US" w:eastAsia="zh-CN"/>
        </w:rPr>
        <w:t>（四）不接受联合体投标。</w:t>
      </w:r>
    </w:p>
    <w:p>
      <w:pPr>
        <w:spacing w:line="360" w:lineRule="auto"/>
        <w:ind w:firstLine="482" w:firstLineChars="200"/>
        <w:rPr>
          <w:rFonts w:hint="eastAsia"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lang w:val="en-US" w:eastAsia="zh-CN"/>
        </w:rPr>
        <w:t>六</w:t>
      </w:r>
      <w:r>
        <w:rPr>
          <w:rFonts w:hint="eastAsia" w:asciiTheme="majorEastAsia" w:hAnsiTheme="majorEastAsia" w:eastAsiaTheme="majorEastAsia" w:cstheme="majorEastAsia"/>
          <w:b/>
          <w:bCs/>
          <w:kern w:val="0"/>
          <w:sz w:val="24"/>
        </w:rPr>
        <w:t>、比选报名</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请于2021年1月9日至2021年1月11日工作时间上午9:00-12：00时，下午14：00－17:00时，到四川省达州市经济开发区斌郎乡桥坝村四川川投燃气发电有限责任公司办公楼四楼报名并领取比选资料。</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发布公告的媒介：本次比选公告在川投集团外网（网址：</w:t>
      </w:r>
      <w:r>
        <w:rPr>
          <w:rFonts w:hint="eastAsia" w:ascii="宋体" w:hAnsi="宋体" w:cs="宋体"/>
          <w:color w:val="000000"/>
          <w:kern w:val="0"/>
          <w:sz w:val="24"/>
          <w:lang w:val="en-US" w:eastAsia="zh-CN"/>
        </w:rPr>
        <w:fldChar w:fldCharType="begin"/>
      </w:r>
      <w:r>
        <w:rPr>
          <w:rFonts w:hint="eastAsia" w:ascii="宋体" w:hAnsi="宋体" w:cs="宋体"/>
          <w:color w:val="000000"/>
          <w:kern w:val="0"/>
          <w:sz w:val="24"/>
          <w:lang w:val="en-US" w:eastAsia="zh-CN"/>
        </w:rPr>
        <w:instrText xml:space="preserve"> HYPERLINK "http://www.invest.com." </w:instrText>
      </w:r>
      <w:r>
        <w:rPr>
          <w:rFonts w:hint="eastAsia" w:ascii="宋体" w:hAnsi="宋体" w:cs="宋体"/>
          <w:color w:val="000000"/>
          <w:kern w:val="0"/>
          <w:sz w:val="24"/>
          <w:lang w:val="en-US" w:eastAsia="zh-CN"/>
        </w:rPr>
        <w:fldChar w:fldCharType="separate"/>
      </w:r>
      <w:r>
        <w:rPr>
          <w:rFonts w:hint="eastAsia" w:ascii="宋体" w:hAnsi="宋体" w:cs="宋体"/>
          <w:color w:val="000000"/>
          <w:kern w:val="0"/>
          <w:sz w:val="24"/>
          <w:lang w:val="en-US" w:eastAsia="zh-CN"/>
        </w:rPr>
        <w:t>http://www.invest.com.</w:t>
      </w:r>
      <w:r>
        <w:rPr>
          <w:rFonts w:hint="eastAsia" w:ascii="宋体" w:hAnsi="宋体" w:cs="宋体"/>
          <w:color w:val="000000"/>
          <w:kern w:val="0"/>
          <w:sz w:val="24"/>
          <w:lang w:val="en-US" w:eastAsia="zh-CN"/>
        </w:rPr>
        <w:fldChar w:fldCharType="end"/>
      </w:r>
      <w:r>
        <w:rPr>
          <w:rFonts w:hint="eastAsia" w:ascii="宋体" w:hAnsi="宋体" w:cs="宋体"/>
          <w:color w:val="000000"/>
          <w:kern w:val="0"/>
          <w:sz w:val="24"/>
          <w:lang w:val="en-US" w:eastAsia="zh-CN"/>
        </w:rPr>
        <w:t>cn/）上发布。</w:t>
      </w:r>
    </w:p>
    <w:p>
      <w:pPr>
        <w:spacing w:line="360" w:lineRule="auto"/>
        <w:ind w:left="479" w:leftChars="228"/>
        <w:rPr>
          <w:rFonts w:hint="eastAsia"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sz w:val="24"/>
          <w:lang w:val="en-US" w:eastAsia="zh-CN"/>
        </w:rPr>
        <w:t>七</w:t>
      </w:r>
      <w:r>
        <w:rPr>
          <w:rFonts w:hint="eastAsia" w:asciiTheme="majorEastAsia" w:hAnsiTheme="majorEastAsia" w:eastAsiaTheme="majorEastAsia" w:cstheme="majorEastAsia"/>
          <w:b/>
          <w:bCs/>
          <w:sz w:val="24"/>
        </w:rPr>
        <w:t>、</w:t>
      </w:r>
      <w:r>
        <w:rPr>
          <w:rFonts w:hint="eastAsia" w:asciiTheme="majorEastAsia" w:hAnsiTheme="majorEastAsia" w:eastAsiaTheme="majorEastAsia" w:cstheme="majorEastAsia"/>
          <w:b/>
          <w:bCs/>
          <w:kern w:val="0"/>
          <w:sz w:val="24"/>
        </w:rPr>
        <w:t>报名需提交的材料</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营业执照副本原件、留加盖鲜章的复印件。</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单位介绍信原件，经办人身份证原件、留加盖鲜章的复印件。</w:t>
      </w:r>
    </w:p>
    <w:p>
      <w:pPr>
        <w:spacing w:line="360" w:lineRule="auto"/>
        <w:ind w:firstLine="482" w:firstLineChars="200"/>
        <w:rPr>
          <w:rFonts w:hint="eastAsia"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lang w:val="en-US" w:eastAsia="zh-CN"/>
        </w:rPr>
        <w:t>八</w:t>
      </w:r>
      <w:r>
        <w:rPr>
          <w:rFonts w:hint="eastAsia" w:asciiTheme="majorEastAsia" w:hAnsiTheme="majorEastAsia" w:eastAsiaTheme="majorEastAsia" w:cstheme="majorEastAsia"/>
          <w:b/>
          <w:bCs/>
          <w:kern w:val="0"/>
          <w:sz w:val="24"/>
        </w:rPr>
        <w:t>、递交比选申请文件截止时间及地点</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比选申请文件的递交截止时间为2021年1月18日上午10:30 时，比选申请文件必须在此规定时间之前专人送达四川省达州市经济开发区斌郎乡桥坝村四川川投燃气发电有限责任公司办公楼四楼会议室。比选申请文件正本一套，副本二套，电子文档（限U盘）1份。迟到的比选申请文件、未按照要求密封的比选申请文件，比选人予以拒收。</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选人定于北京时间2021年1月18日上午10:30时在四川省达州市经济开发区斌郎乡桥坝村四川川投燃气发电有限责任公司举行比选申请文件开启仪式，比选人邀请已递交比选申请文件的服务单位到现场监督，服务单位法定代表人或授权代理人应当对本单位递交的比选申请文件开启情况签字确认。</w:t>
      </w:r>
    </w:p>
    <w:p>
      <w:pPr>
        <w:spacing w:line="360" w:lineRule="auto"/>
        <w:ind w:firstLine="482" w:firstLineChars="200"/>
        <w:rPr>
          <w:rFonts w:hint="eastAsia"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lang w:val="en-US" w:eastAsia="zh-CN"/>
        </w:rPr>
        <w:t>九</w:t>
      </w:r>
      <w:r>
        <w:rPr>
          <w:rFonts w:hint="eastAsia" w:asciiTheme="majorEastAsia" w:hAnsiTheme="majorEastAsia" w:eastAsiaTheme="majorEastAsia" w:cstheme="majorEastAsia"/>
          <w:b/>
          <w:bCs/>
          <w:kern w:val="0"/>
          <w:sz w:val="24"/>
        </w:rPr>
        <w:t>、联系方式</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 选 人：  四川川投燃气发电有限责任公司</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地    址：  四川省达州市经济开发区斌郎乡桥坝村</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邮政编码：  635000          </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联 系 人：  张能</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联系电话： （0818）3331168       18111388818</w:t>
      </w:r>
    </w:p>
    <w:p>
      <w:pPr>
        <w:spacing w:line="360" w:lineRule="auto"/>
        <w:ind w:firstLine="480" w:firstLineChars="200"/>
        <w:rPr>
          <w:rFonts w:hint="eastAsia" w:ascii="宋体" w:hAnsi="宋体" w:cs="宋体"/>
          <w:color w:val="000000"/>
          <w:kern w:val="0"/>
          <w:sz w:val="24"/>
          <w:lang w:val="en-US" w:eastAsia="zh-CN"/>
        </w:rPr>
      </w:pPr>
    </w:p>
    <w:p>
      <w:pPr>
        <w:spacing w:line="360" w:lineRule="auto"/>
        <w:ind w:firstLine="5760" w:firstLineChars="24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2021年1月5日  </w:t>
      </w:r>
    </w:p>
    <w:p>
      <w:pPr>
        <w:spacing w:line="360" w:lineRule="auto"/>
        <w:ind w:firstLine="480" w:firstLineChars="200"/>
        <w:rPr>
          <w:rFonts w:hint="eastAsia" w:ascii="宋体" w:hAnsi="宋体" w:cs="宋体"/>
          <w:color w:val="000000"/>
          <w:kern w:val="0"/>
          <w:sz w:val="24"/>
          <w:lang w:val="en-US" w:eastAsia="zh-CN"/>
        </w:rPr>
      </w:pPr>
    </w:p>
    <w:p>
      <w:pPr>
        <w:spacing w:line="360" w:lineRule="auto"/>
        <w:ind w:right="480" w:firstLine="4920" w:firstLineChars="2050"/>
      </w:pPr>
      <w:r>
        <w:rPr>
          <w:rFonts w:ascii="仿宋_GB2312" w:eastAsia="仿宋_GB2312"/>
          <w:sz w:val="24"/>
        </w:rPr>
        <w:br w:type="page"/>
      </w:r>
    </w:p>
    <w:p>
      <w:pPr>
        <w:pStyle w:val="3"/>
        <w:numPr>
          <w:ilvl w:val="0"/>
          <w:numId w:val="6"/>
        </w:numPr>
        <w:spacing w:line="360" w:lineRule="auto"/>
      </w:pPr>
      <w:bookmarkStart w:id="14" w:name="_Toc9085"/>
      <w:bookmarkStart w:id="15" w:name="_Toc109212565"/>
      <w:r>
        <w:rPr>
          <w:rFonts w:hint="eastAsia"/>
        </w:rPr>
        <w:t>比选申请人资格要求</w:t>
      </w:r>
      <w:bookmarkEnd w:id="14"/>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本次比选采用资格后审的方式。为证实比选申请人具有完成工作的资格和能力，比选申请人应当符合以下条件并随比选申请文件提供相应的证明文件资料：</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（一）资质要求</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投标人在中华人民共和国注册并具有独立法人资格。</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ru-RU" w:eastAsia="zh-CN"/>
        </w:rPr>
      </w:pPr>
      <w:r>
        <w:rPr>
          <w:rFonts w:hint="eastAsia"/>
          <w:b w:val="0"/>
          <w:bCs w:val="0"/>
          <w:i w:val="0"/>
          <w:iCs w:val="0"/>
          <w:smallCaps w:val="0"/>
          <w:strike w:val="0"/>
          <w:color w:val="auto"/>
          <w:spacing w:val="0"/>
          <w:w w:val="100"/>
          <w:kern w:val="0"/>
          <w:position w:val="0"/>
          <w:lang w:val="ru-RU" w:eastAsia="zh-CN"/>
        </w:rPr>
        <w:t>具有独立承担民事责任的能力。</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建筑工程公司注册资金不低于1000万元，装饰装修类公司注册资金不低于100万元。</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具有国家建设行政主管部门颁发的防水防腐保温工程承包二级资质；装饰装修类公司必须具有建筑装修装饰工程专业承包资质三级或以上资质。具有有效的安全生产许可证。</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（二）财务要求</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ru-RU" w:eastAsia="zh-CN"/>
        </w:rPr>
        <w:t>具有良好的商业信誉和健全的财务会计制度；</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（三）其他要求</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具有良好的银行资信和商业信誉，没有处于被责令停业或破产状态，且资产未被重组、接管和冻结。</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近3年内不曾在任何合同中违约、被逐，或因自身原因而使任何合同被解除。</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近3年内未发生借取他人或向他人出借资质或业绩的情况。</w:t>
      </w:r>
    </w:p>
    <w:p>
      <w:pPr>
        <w:pStyle w:val="40"/>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ru-RU" w:eastAsia="zh-CN"/>
        </w:rPr>
      </w:pPr>
      <w:r>
        <w:rPr>
          <w:rFonts w:hint="eastAsia"/>
          <w:b w:val="0"/>
          <w:bCs w:val="0"/>
          <w:i w:val="0"/>
          <w:iCs w:val="0"/>
          <w:smallCaps w:val="0"/>
          <w:strike w:val="0"/>
          <w:color w:val="auto"/>
          <w:spacing w:val="0"/>
          <w:w w:val="100"/>
          <w:kern w:val="0"/>
          <w:position w:val="0"/>
          <w:lang w:val="en-US" w:eastAsia="zh-CN"/>
        </w:rPr>
        <w:t>在专业技术、人员组织、施工经验等方面具有相应资格和应急处置能力</w:t>
      </w:r>
      <w:r>
        <w:rPr>
          <w:rFonts w:hint="eastAsia"/>
          <w:b w:val="0"/>
          <w:bCs w:val="0"/>
          <w:i w:val="0"/>
          <w:iCs w:val="0"/>
          <w:smallCaps w:val="0"/>
          <w:strike w:val="0"/>
          <w:color w:val="auto"/>
          <w:spacing w:val="0"/>
          <w:w w:val="100"/>
          <w:kern w:val="0"/>
          <w:position w:val="0"/>
          <w:lang w:val="ru-RU" w:eastAsia="zh-CN"/>
        </w:rPr>
        <w:t>。</w:t>
      </w:r>
    </w:p>
    <w:p>
      <w:pPr>
        <w:spacing w:line="360" w:lineRule="auto"/>
        <w:ind w:firstLine="480" w:firstLineChars="200"/>
        <w:rPr>
          <w:rFonts w:hint="eastAsia"/>
          <w:b w:val="0"/>
          <w:bCs w:val="0"/>
          <w:i w:val="0"/>
          <w:iCs w:val="0"/>
          <w:smallCaps w:val="0"/>
          <w:strike w:val="0"/>
          <w:color w:val="auto"/>
          <w:spacing w:val="0"/>
          <w:w w:val="100"/>
          <w:kern w:val="0"/>
          <w:position w:val="0"/>
          <w:lang w:val="ru-RU" w:eastAsia="zh-CN"/>
        </w:rPr>
      </w:pPr>
      <w:r>
        <w:rPr>
          <w:rFonts w:hint="eastAsia" w:ascii="宋体" w:hAnsi="宋体" w:cs="宋体"/>
          <w:color w:val="000000"/>
          <w:kern w:val="0"/>
          <w:sz w:val="24"/>
          <w:lang w:val="en-US" w:eastAsia="zh-CN"/>
        </w:rPr>
        <w:t>（四）不接受联合体投标。</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ascii="仿宋_GB2312" w:eastAsia="仿宋_GB2312"/>
          <w:sz w:val="24"/>
        </w:rPr>
        <w:br w:type="page"/>
      </w:r>
    </w:p>
    <w:p>
      <w:pPr>
        <w:pStyle w:val="3"/>
        <w:spacing w:line="360" w:lineRule="auto"/>
      </w:pPr>
      <w:bookmarkStart w:id="16" w:name="_Toc118"/>
      <w:r>
        <w:rPr>
          <w:rFonts w:hint="eastAsia"/>
        </w:rPr>
        <w:t>比选申请人须知</w:t>
      </w:r>
      <w:bookmarkEnd w:id="15"/>
      <w:bookmarkEnd w:id="16"/>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一、2021-2023年度土建维护服务的期间：从通过比选确定的维护单位与比选人签订合同起，至维护单位向比选人提交相关正式报告后结束。</w:t>
      </w:r>
    </w:p>
    <w:p>
      <w:pPr>
        <w:spacing w:line="360" w:lineRule="auto"/>
        <w:ind w:firstLine="482" w:firstLineChars="200"/>
        <w:rPr>
          <w:rFonts w:hint="eastAsia"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二、</w:t>
      </w:r>
      <w:bookmarkStart w:id="17" w:name="_Toc355712663"/>
      <w:bookmarkStart w:id="18" w:name="_Toc355713694"/>
      <w:bookmarkStart w:id="19" w:name="_Toc355792436"/>
      <w:bookmarkStart w:id="20" w:name="_Toc355712333"/>
      <w:bookmarkStart w:id="21" w:name="_Toc355875834"/>
      <w:bookmarkStart w:id="22" w:name="_Toc355860709"/>
      <w:bookmarkStart w:id="23" w:name="_Toc355712550"/>
      <w:r>
        <w:rPr>
          <w:rFonts w:hint="eastAsia" w:asciiTheme="majorEastAsia" w:hAnsiTheme="majorEastAsia" w:eastAsiaTheme="majorEastAsia" w:cstheme="majorEastAsia"/>
          <w:b/>
          <w:bCs/>
          <w:kern w:val="0"/>
          <w:sz w:val="24"/>
        </w:rPr>
        <w:t>项目概况</w:t>
      </w:r>
      <w:bookmarkEnd w:id="17"/>
      <w:bookmarkEnd w:id="18"/>
      <w:bookmarkEnd w:id="19"/>
      <w:bookmarkEnd w:id="20"/>
      <w:bookmarkEnd w:id="21"/>
      <w:bookmarkEnd w:id="22"/>
      <w:bookmarkEnd w:id="23"/>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四川川投燃气发电有限责任公司成立于2011年11月28日，由四川省投资集团有限责任公司、四川省能源投资集团有限责任公司、达州市国有资产经营管理公司按照85％、10％和5％的出资比例共同出资设立。公司为国有企业，注册资金5亿元人民币，注册地在四川省达州市。</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公司负责开发、建设的达州天然气发电项目，规划装机容量为4×350MW等级燃气－蒸汽联合循环机组，总投资约50亿元，分两期建设。一期装机为2×350MW等级F级燃气－蒸汽联合循环机组。 </w:t>
      </w:r>
    </w:p>
    <w:p>
      <w:pPr>
        <w:spacing w:line="360" w:lineRule="auto"/>
        <w:ind w:firstLine="482" w:firstLineChars="20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三、工程名称</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工程地点：招标方主厂区、净水站、进泵房引接道路、江边取水泵房、厂外补给水管线、天然气管线、10kV线路。</w:t>
      </w:r>
    </w:p>
    <w:p>
      <w:pPr>
        <w:spacing w:line="360" w:lineRule="auto"/>
        <w:ind w:firstLine="482" w:firstLineChars="200"/>
        <w:rPr>
          <w:rFonts w:hint="eastAsia" w:ascii="宋体" w:hAnsi="宋体" w:cs="宋体"/>
          <w:color w:val="000000"/>
          <w:kern w:val="0"/>
          <w:sz w:val="24"/>
          <w:lang w:val="en-US" w:eastAsia="zh-CN"/>
        </w:rPr>
      </w:pPr>
      <w:r>
        <w:rPr>
          <w:rFonts w:hint="eastAsia" w:asciiTheme="majorEastAsia" w:hAnsiTheme="majorEastAsia" w:eastAsiaTheme="majorEastAsia" w:cstheme="majorEastAsia"/>
          <w:b/>
          <w:bCs/>
          <w:kern w:val="0"/>
          <w:sz w:val="24"/>
          <w:lang w:val="en-US" w:eastAsia="zh-CN"/>
        </w:rPr>
        <w:t>四</w:t>
      </w:r>
      <w:r>
        <w:rPr>
          <w:rFonts w:hint="eastAsia" w:asciiTheme="majorEastAsia" w:hAnsiTheme="majorEastAsia" w:eastAsiaTheme="majorEastAsia" w:cstheme="majorEastAsia"/>
          <w:b/>
          <w:bCs/>
          <w:kern w:val="0"/>
          <w:sz w:val="24"/>
        </w:rPr>
        <w:t>、委托的工作</w:t>
      </w:r>
      <w:r>
        <w:rPr>
          <w:rFonts w:hint="eastAsia" w:asciiTheme="majorEastAsia" w:hAnsiTheme="majorEastAsia" w:eastAsiaTheme="majorEastAsia" w:cstheme="majorEastAsia"/>
          <w:b/>
          <w:bCs/>
          <w:kern w:val="0"/>
          <w:sz w:val="24"/>
          <w:lang w:val="en-US" w:eastAsia="zh-CN"/>
        </w:rPr>
        <w:t>范围</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维修工程范围主要包括</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全厂所有建（构）筑物的结构维护、屋顶、屋面防水、门窗锁匙拉手等附件、墙面、楼地面、顶棚、卫生间防水、给排水系统及卫生洁具、水龙头的维护及维修；</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雨水管网、生活污水管网及其沟道、孔洞、井、坑池的淤泥清挖、封堵和疏通维护；</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楼梯、栏杆、平台等钢结构油漆防腐、架子、库房清理、附带的小型土建设计施工等；</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临时孔洞、管沟的开凿及恢复；</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道路、广场、厂区围墙、厂区内户外固定围栏的维修；</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护坡、挡墙、排水沟、截洪沟、征地界桩等维修。厂外补给水管线线路标识的维护，取水泵房取水点（河里）浮标的维修；</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消缺 、消漏、抢修、防汛、防寒防冻项目，采暖通风设施、上水管道、地下沟道、盖板、楼梯、栏杆、及其它装饰性构件维修等；</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全厂生活家具、办公家具、电动（自动）门，建筑门窗锁、窗帘等维修；</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全厂所有绿化及功能性设施的维护、检修(含绿地灌溉系统的管道、阀门等)；</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厂区地下直埋管道、电缆沟、挖洞等在检修开挖前的绿化植被移除，及工程土回填后的植被恢复、路面恢复；</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配合工作：招标方各专业、各部门需要的其它配合工作。</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 进行本标段所辖范围内的维修工作时，投标方具备办票资格的人员填写工作票、动火票及安全措施，负责全过程安全、质量、工期的控制以及在维护维修工作中执行“7S”管理，达到工完、料净、场地清，恢复原状的效果。</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详见：《四川川投燃气发电有限责任公司2021年度土建维护技术规范书》。</w:t>
      </w:r>
    </w:p>
    <w:p>
      <w:pPr>
        <w:pStyle w:val="42"/>
        <w:numPr>
          <w:ilvl w:val="0"/>
          <w:numId w:val="7"/>
        </w:numPr>
        <w:ind w:leftChars="200"/>
        <w:jc w:val="both"/>
        <w:rPr>
          <w:rFonts w:hint="eastAsia" w:ascii="宋体" w:hAnsi="宋体" w:eastAsia="宋体"/>
          <w:b/>
          <w:sz w:val="24"/>
          <w:szCs w:val="24"/>
        </w:rPr>
      </w:pPr>
      <w:bookmarkStart w:id="24" w:name="_Toc23949"/>
      <w:bookmarkStart w:id="25" w:name="_Toc15444"/>
      <w:r>
        <w:rPr>
          <w:rFonts w:hint="eastAsia" w:ascii="宋体" w:hAnsi="宋体" w:eastAsia="宋体"/>
          <w:b/>
          <w:sz w:val="24"/>
          <w:szCs w:val="24"/>
        </w:rPr>
        <w:t>工作期限：</w:t>
      </w:r>
      <w:bookmarkEnd w:id="24"/>
      <w:bookmarkEnd w:id="25"/>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维护期限1年。</w:t>
      </w:r>
    </w:p>
    <w:p>
      <w:p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w:t>
      </w:r>
      <w:r>
        <w:rPr>
          <w:rFonts w:hint="eastAsia" w:ascii="宋体" w:hAnsi="宋体" w:cs="宋体"/>
          <w:b/>
          <w:bCs/>
          <w:kern w:val="2"/>
          <w:sz w:val="24"/>
          <w:szCs w:val="24"/>
          <w:lang w:val="en-US" w:eastAsia="zh-CN" w:bidi="ar-SA"/>
        </w:rPr>
        <w:t>、人员、质量、工期</w:t>
      </w:r>
      <w:r>
        <w:rPr>
          <w:rFonts w:hint="eastAsia" w:ascii="宋体" w:hAnsi="宋体" w:eastAsia="宋体" w:cs="宋体"/>
          <w:b/>
          <w:bCs/>
          <w:kern w:val="2"/>
          <w:sz w:val="24"/>
          <w:szCs w:val="24"/>
          <w:lang w:val="en-US" w:eastAsia="zh-CN" w:bidi="ar-SA"/>
        </w:rPr>
        <w:t>要求</w:t>
      </w:r>
    </w:p>
    <w:p>
      <w:pPr>
        <w:pStyle w:val="2"/>
        <w:ind w:left="0" w:leftChars="0" w:firstLine="480" w:firstLineChars="200"/>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（一）人员要求</w:t>
      </w:r>
    </w:p>
    <w:p>
      <w:pPr>
        <w:snapToGrid w:val="0"/>
        <w:spacing w:line="360" w:lineRule="auto"/>
        <w:ind w:right="-110" w:firstLine="480" w:firstLineChars="200"/>
        <w:rPr>
          <w:rFonts w:ascii="宋体" w:hAnsi="宋体" w:cs="Arial"/>
          <w:sz w:val="24"/>
        </w:rPr>
      </w:pPr>
      <w:r>
        <w:rPr>
          <w:rFonts w:hint="eastAsia" w:ascii="宋体" w:hAnsi="宋体" w:cs="Arial"/>
          <w:sz w:val="24"/>
        </w:rPr>
        <w:t>要求投标方</w:t>
      </w:r>
      <w:r>
        <w:rPr>
          <w:rFonts w:hint="eastAsia" w:ascii="宋体" w:hAnsi="宋体" w:cs="Arial"/>
          <w:sz w:val="24"/>
          <w:lang w:val="en-US" w:eastAsia="zh-CN"/>
        </w:rPr>
        <w:t>现场施工</w:t>
      </w:r>
      <w:r>
        <w:rPr>
          <w:rFonts w:hint="eastAsia" w:ascii="宋体" w:hAnsi="宋体" w:cs="Arial"/>
          <w:sz w:val="24"/>
        </w:rPr>
        <w:t>负责人技术全面，至少应有五年的土建施工维修维护管理经历，</w:t>
      </w:r>
      <w:r>
        <w:rPr>
          <w:rFonts w:hint="eastAsia" w:ascii="宋体" w:hAnsi="宋体" w:cs="Arial"/>
          <w:sz w:val="24"/>
          <w:lang w:val="en-US" w:eastAsia="zh-CN"/>
        </w:rPr>
        <w:t>能够自己动手</w:t>
      </w:r>
      <w:r>
        <w:rPr>
          <w:rFonts w:hint="eastAsia"/>
          <w:sz w:val="24"/>
          <w:szCs w:val="24"/>
          <w:lang w:val="en-US" w:eastAsia="zh-CN"/>
        </w:rPr>
        <w:t>从事多技术工种的土建施工作业</w:t>
      </w:r>
      <w:r>
        <w:rPr>
          <w:rFonts w:hint="eastAsia" w:ascii="宋体" w:hAnsi="宋体" w:cs="Arial"/>
          <w:sz w:val="24"/>
          <w:szCs w:val="24"/>
        </w:rPr>
        <w:t>。</w:t>
      </w:r>
    </w:p>
    <w:p>
      <w:pPr>
        <w:snapToGrid w:val="0"/>
        <w:spacing w:line="360" w:lineRule="auto"/>
        <w:ind w:right="-110" w:firstLine="480" w:firstLineChars="200"/>
        <w:rPr>
          <w:rFonts w:ascii="宋体" w:hAnsi="宋体" w:cs="Arial"/>
          <w:sz w:val="24"/>
        </w:rPr>
      </w:pPr>
      <w:r>
        <w:rPr>
          <w:rFonts w:hint="eastAsia" w:ascii="宋体" w:hAnsi="宋体" w:cs="Arial"/>
          <w:sz w:val="24"/>
        </w:rPr>
        <w:t>特殊工种必须持证上岗，</w:t>
      </w:r>
      <w:r>
        <w:rPr>
          <w:rFonts w:hint="eastAsia" w:ascii="宋体" w:hAnsi="宋体" w:cs="Arial"/>
          <w:sz w:val="24"/>
          <w:lang w:eastAsia="zh-CN"/>
        </w:rPr>
        <w:t>如：焊工、架工等，</w:t>
      </w:r>
      <w:r>
        <w:rPr>
          <w:rFonts w:hint="eastAsia" w:ascii="宋体" w:hAnsi="宋体" w:cs="Arial"/>
          <w:sz w:val="24"/>
        </w:rPr>
        <w:t>且及时满足生产需要。</w:t>
      </w:r>
    </w:p>
    <w:p>
      <w:pPr>
        <w:snapToGrid w:val="0"/>
        <w:spacing w:line="360" w:lineRule="auto"/>
        <w:ind w:right="-110" w:firstLine="480" w:firstLineChars="200"/>
        <w:rPr>
          <w:rFonts w:hint="eastAsia" w:ascii="宋体" w:hAnsi="宋体" w:cs="Arial"/>
          <w:sz w:val="24"/>
          <w:lang w:val="en-US" w:eastAsia="zh-CN"/>
        </w:rPr>
      </w:pPr>
      <w:r>
        <w:rPr>
          <w:rFonts w:hint="eastAsia" w:ascii="宋体" w:hAnsi="宋体" w:cs="Arial"/>
          <w:sz w:val="24"/>
        </w:rPr>
        <w:t>投标方</w:t>
      </w:r>
      <w:r>
        <w:rPr>
          <w:rFonts w:hint="eastAsia" w:ascii="宋体" w:hAnsi="宋体" w:cs="Arial"/>
          <w:sz w:val="24"/>
          <w:lang w:val="en-US" w:eastAsia="zh-CN"/>
        </w:rPr>
        <w:t>要有相对稳定的施工队伍。如：泥瓦工，防水工，油漆工等。</w:t>
      </w:r>
    </w:p>
    <w:p>
      <w:pPr>
        <w:snapToGrid w:val="0"/>
        <w:spacing w:line="360" w:lineRule="auto"/>
        <w:ind w:right="-110" w:firstLine="480" w:firstLineChars="200"/>
        <w:rPr>
          <w:rFonts w:ascii="宋体" w:hAnsi="宋体" w:cs="Arial"/>
          <w:sz w:val="24"/>
        </w:rPr>
      </w:pPr>
      <w:r>
        <w:rPr>
          <w:rFonts w:hint="eastAsia" w:ascii="宋体" w:hAnsi="宋体" w:cs="Arial"/>
          <w:sz w:val="24"/>
        </w:rPr>
        <w:t>本项目</w:t>
      </w:r>
      <w:r>
        <w:rPr>
          <w:rFonts w:hint="eastAsia" w:ascii="宋体" w:hAnsi="宋体" w:cs="Arial"/>
          <w:sz w:val="24"/>
          <w:lang w:val="en-US" w:eastAsia="zh-CN"/>
        </w:rPr>
        <w:t>现场施工</w:t>
      </w:r>
      <w:r>
        <w:rPr>
          <w:rFonts w:hint="eastAsia" w:ascii="宋体" w:hAnsi="宋体" w:cs="Arial"/>
          <w:sz w:val="24"/>
        </w:rPr>
        <w:t>负责人</w:t>
      </w:r>
      <w:r>
        <w:rPr>
          <w:rFonts w:hint="eastAsia" w:ascii="宋体" w:hAnsi="宋体" w:cs="Arial"/>
          <w:sz w:val="24"/>
          <w:lang w:val="en-US" w:eastAsia="zh-CN"/>
        </w:rPr>
        <w:t>必须长驻达州本地，优先考虑达州本地人员（达州户口或身份证），方便随时到现场消缺补漏。</w:t>
      </w:r>
    </w:p>
    <w:p>
      <w:pPr>
        <w:ind w:firstLine="480" w:firstLineChars="200"/>
        <w:rPr>
          <w:rFonts w:hint="eastAsia"/>
          <w:lang w:val="en-US" w:eastAsia="zh-CN"/>
        </w:rPr>
      </w:pPr>
      <w:r>
        <w:rPr>
          <w:rFonts w:hint="eastAsia" w:ascii="宋体" w:hAnsi="宋体" w:cs="Arial"/>
          <w:sz w:val="24"/>
        </w:rPr>
        <w:t>负责本标段范围的各专业（</w:t>
      </w:r>
      <w:r>
        <w:rPr>
          <w:rFonts w:hint="eastAsia" w:ascii="宋体" w:hAnsi="宋体" w:cs="Arial"/>
          <w:sz w:val="24"/>
          <w:lang w:val="en-US" w:eastAsia="zh-CN"/>
        </w:rPr>
        <w:t>防水</w:t>
      </w:r>
      <w:r>
        <w:rPr>
          <w:rFonts w:hint="eastAsia" w:ascii="宋体" w:hAnsi="宋体" w:cs="Arial"/>
          <w:sz w:val="24"/>
        </w:rPr>
        <w:t>、防腐、建筑等）技术人员至少应有1名，在本岗位有</w:t>
      </w:r>
      <w:r>
        <w:rPr>
          <w:rFonts w:hint="eastAsia" w:ascii="宋体" w:hAnsi="宋体" w:cs="Arial"/>
          <w:sz w:val="24"/>
          <w:lang w:val="en-US" w:eastAsia="zh-CN"/>
        </w:rPr>
        <w:t>三</w:t>
      </w:r>
      <w:r>
        <w:rPr>
          <w:rFonts w:hint="eastAsia" w:ascii="宋体" w:hAnsi="宋体" w:cs="Arial"/>
          <w:sz w:val="24"/>
        </w:rPr>
        <w:t>年以上的工作经历</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（二）质量要求</w:t>
      </w:r>
    </w:p>
    <w:p>
      <w:pPr>
        <w:spacing w:line="360" w:lineRule="auto"/>
        <w:ind w:firstLine="480" w:firstLineChars="200"/>
        <w:rPr>
          <w:rFonts w:hint="eastAsia"/>
          <w:lang w:val="en-US" w:eastAsia="zh-CN"/>
        </w:rPr>
      </w:pPr>
      <w:r>
        <w:rPr>
          <w:rFonts w:hint="eastAsia" w:ascii="宋体" w:hAnsi="宋体"/>
          <w:sz w:val="24"/>
        </w:rPr>
        <w:t>维修工作质量要求：达到国家现行建设工程质量验收规范合格标准。</w:t>
      </w:r>
    </w:p>
    <w:p>
      <w:pPr>
        <w:pStyle w:val="2"/>
        <w:ind w:left="0" w:leftChars="0" w:firstLine="480" w:firstLineChars="200"/>
        <w:rPr>
          <w:rFonts w:hint="eastAsia"/>
          <w:lang w:val="en-US" w:eastAsia="zh-CN"/>
        </w:rPr>
      </w:pPr>
      <w:r>
        <w:rPr>
          <w:rFonts w:hint="eastAsia" w:ascii="宋体" w:hAnsi="宋体" w:cs="宋体"/>
          <w:color w:val="000000"/>
          <w:kern w:val="0"/>
          <w:sz w:val="24"/>
          <w:lang w:val="en-US" w:eastAsia="zh-CN"/>
        </w:rPr>
        <w:t>（三）工期要求</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维修项目必须在招标方要求的合理工期内完工并通过竣工验收，逾期的项目按照招标方相关管理规定给予考核。</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招标方SAP生产管理系统所列缺陷及安全检查等提出的整改项，必须在规定期限内完成，经招标方同意延期的最迟不得超过30日内完成。</w:t>
      </w:r>
    </w:p>
    <w:p>
      <w:pPr>
        <w:pStyle w:val="2"/>
        <w:ind w:left="0" w:leftChars="0"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详见《四川川投燃气发电有限责任公司2021年度土建维护技术规范书》</w:t>
      </w:r>
    </w:p>
    <w:p>
      <w:pPr>
        <w:numPr>
          <w:ilvl w:val="0"/>
          <w:numId w:val="0"/>
        </w:numPr>
        <w:spacing w:line="348" w:lineRule="auto"/>
        <w:ind w:firstLine="482" w:firstLineChars="200"/>
        <w:rPr>
          <w:rFonts w:hint="eastAsia" w:ascii="宋体" w:hAnsi="宋体" w:eastAsia="宋体"/>
          <w:b/>
          <w:sz w:val="24"/>
          <w:szCs w:val="24"/>
          <w:lang w:val="en-US" w:eastAsia="zh-CN"/>
        </w:rPr>
      </w:pPr>
      <w:bookmarkStart w:id="26" w:name="_Toc479776148"/>
    </w:p>
    <w:p>
      <w:pPr>
        <w:numPr>
          <w:ilvl w:val="0"/>
          <w:numId w:val="0"/>
        </w:numPr>
        <w:spacing w:line="348" w:lineRule="auto"/>
        <w:ind w:firstLine="482" w:firstLineChars="200"/>
        <w:rPr>
          <w:rFonts w:hint="eastAsia" w:ascii="宋体" w:hAnsi="宋体" w:eastAsia="宋体"/>
          <w:b/>
          <w:sz w:val="24"/>
          <w:szCs w:val="24"/>
          <w:lang w:val="en-US" w:eastAsia="zh-CN"/>
        </w:rPr>
      </w:pPr>
    </w:p>
    <w:p>
      <w:pPr>
        <w:numPr>
          <w:ilvl w:val="0"/>
          <w:numId w:val="0"/>
        </w:numPr>
        <w:spacing w:line="348" w:lineRule="auto"/>
        <w:ind w:firstLine="482" w:firstLineChars="200"/>
        <w:rPr>
          <w:rFonts w:hint="eastAsia" w:ascii="宋体" w:hAnsi="宋体" w:eastAsia="宋体"/>
          <w:b/>
          <w:sz w:val="24"/>
          <w:szCs w:val="24"/>
        </w:rPr>
      </w:pPr>
      <w:r>
        <w:rPr>
          <w:rFonts w:hint="eastAsia" w:ascii="宋体" w:hAnsi="宋体" w:eastAsia="宋体"/>
          <w:b/>
          <w:sz w:val="24"/>
          <w:szCs w:val="24"/>
          <w:lang w:val="en-US" w:eastAsia="zh-CN"/>
        </w:rPr>
        <w:t>七、比选</w:t>
      </w:r>
      <w:r>
        <w:rPr>
          <w:rFonts w:hint="eastAsia" w:ascii="宋体" w:hAnsi="宋体" w:eastAsia="宋体"/>
          <w:b/>
          <w:sz w:val="24"/>
          <w:szCs w:val="24"/>
        </w:rPr>
        <w:t>报价方式</w:t>
      </w:r>
      <w:bookmarkEnd w:id="26"/>
    </w:p>
    <w:p>
      <w:pPr>
        <w:numPr>
          <w:ilvl w:val="0"/>
          <w:numId w:val="0"/>
        </w:numPr>
        <w:spacing w:line="348" w:lineRule="auto"/>
        <w:ind w:firstLine="480" w:firstLineChars="200"/>
        <w:rPr>
          <w:rFonts w:hint="eastAsia" w:ascii="宋体" w:hAnsi="宋体"/>
          <w:sz w:val="24"/>
        </w:rPr>
      </w:pPr>
      <w:r>
        <w:rPr>
          <w:rFonts w:hint="eastAsia" w:ascii="宋体" w:hAnsi="宋体"/>
          <w:sz w:val="24"/>
        </w:rPr>
        <w:t>各</w:t>
      </w:r>
      <w:r>
        <w:rPr>
          <w:rFonts w:hint="eastAsia" w:ascii="宋体" w:hAnsi="宋体"/>
          <w:sz w:val="24"/>
          <w:lang w:val="en-US" w:eastAsia="zh-CN"/>
        </w:rPr>
        <w:t>比选</w:t>
      </w:r>
      <w:r>
        <w:rPr>
          <w:rFonts w:hint="eastAsia" w:ascii="宋体" w:hAnsi="宋体"/>
          <w:sz w:val="24"/>
        </w:rPr>
        <w:t>申请人在踏勘现场后，根据现场及自身情况，自行核算后进行报价。报价分以下</w:t>
      </w:r>
      <w:r>
        <w:rPr>
          <w:rFonts w:hint="eastAsia" w:ascii="宋体" w:hAnsi="宋体"/>
          <w:sz w:val="24"/>
          <w:lang w:val="en-US" w:eastAsia="zh-CN"/>
        </w:rPr>
        <w:t>二</w:t>
      </w:r>
      <w:r>
        <w:rPr>
          <w:rFonts w:hint="eastAsia" w:ascii="宋体" w:hAnsi="宋体"/>
          <w:sz w:val="24"/>
        </w:rPr>
        <w:t>部分：</w:t>
      </w:r>
    </w:p>
    <w:p>
      <w:pPr>
        <w:spacing w:line="348" w:lineRule="auto"/>
        <w:ind w:firstLine="480"/>
        <w:rPr>
          <w:rFonts w:hint="eastAsia"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一</w:t>
      </w:r>
      <w:r>
        <w:rPr>
          <w:rFonts w:hint="eastAsia" w:ascii="宋体" w:hAnsi="宋体"/>
          <w:b w:val="0"/>
          <w:bCs/>
          <w:sz w:val="24"/>
          <w:lang w:eastAsia="zh-CN"/>
        </w:rPr>
        <w:t>）</w:t>
      </w:r>
      <w:r>
        <w:rPr>
          <w:rFonts w:hint="eastAsia" w:ascii="宋体" w:hAnsi="宋体"/>
          <w:b w:val="0"/>
          <w:bCs/>
          <w:sz w:val="24"/>
        </w:rPr>
        <w:t>下浮费率结算部分：</w:t>
      </w:r>
    </w:p>
    <w:p>
      <w:pPr>
        <w:spacing w:line="348" w:lineRule="auto"/>
        <w:ind w:firstLine="480"/>
        <w:rPr>
          <w:rFonts w:hint="eastAsia" w:ascii="宋体" w:hAnsi="宋体"/>
          <w:b w:val="0"/>
          <w:bCs/>
          <w:sz w:val="24"/>
        </w:rPr>
      </w:pPr>
      <w:r>
        <w:rPr>
          <w:rFonts w:hint="eastAsia" w:ascii="宋体" w:hAnsi="宋体"/>
          <w:b w:val="0"/>
          <w:bCs/>
          <w:sz w:val="24"/>
          <w:lang w:val="en-US" w:eastAsia="zh-CN"/>
        </w:rPr>
        <w:t>1.1</w:t>
      </w:r>
      <w:r>
        <w:rPr>
          <w:rFonts w:hint="eastAsia" w:ascii="宋体" w:hAnsi="宋体"/>
          <w:b w:val="0"/>
          <w:bCs/>
          <w:sz w:val="24"/>
        </w:rPr>
        <w:t>计价方式：采用2015年版《四川省建设工程工程量清单计价定额》计价</w:t>
      </w:r>
      <w:r>
        <w:rPr>
          <w:rFonts w:hint="eastAsia" w:ascii="宋体" w:hAnsi="宋体"/>
          <w:b w:val="0"/>
          <w:bCs/>
          <w:sz w:val="24"/>
          <w:lang w:eastAsia="zh-CN"/>
        </w:rPr>
        <w:t>。</w:t>
      </w:r>
    </w:p>
    <w:p>
      <w:pPr>
        <w:spacing w:line="348" w:lineRule="auto"/>
        <w:ind w:firstLine="480"/>
        <w:rPr>
          <w:rFonts w:hint="eastAsia" w:ascii="宋体" w:hAnsi="宋体"/>
          <w:b/>
          <w:bCs w:val="0"/>
          <w:sz w:val="24"/>
        </w:rPr>
      </w:pPr>
      <w:r>
        <w:rPr>
          <w:rFonts w:hint="eastAsia" w:ascii="宋体" w:hAnsi="宋体"/>
          <w:b/>
          <w:bCs w:val="0"/>
          <w:sz w:val="24"/>
          <w:lang w:val="en-US" w:eastAsia="zh-CN"/>
        </w:rPr>
        <w:t>注：如</w:t>
      </w:r>
      <w:r>
        <w:rPr>
          <w:rFonts w:hint="eastAsia" w:ascii="宋体" w:hAnsi="宋体"/>
          <w:b/>
          <w:bCs w:val="0"/>
          <w:sz w:val="24"/>
        </w:rPr>
        <w:t>四川省建设工程造价总站</w:t>
      </w:r>
      <w:r>
        <w:rPr>
          <w:rFonts w:hint="eastAsia" w:ascii="宋体" w:hAnsi="宋体"/>
          <w:b/>
          <w:bCs w:val="0"/>
          <w:sz w:val="24"/>
          <w:lang w:val="en-US" w:eastAsia="zh-CN"/>
        </w:rPr>
        <w:t>新出版</w:t>
      </w:r>
      <w:r>
        <w:rPr>
          <w:rFonts w:hint="eastAsia" w:ascii="宋体" w:hAnsi="宋体"/>
          <w:b/>
          <w:bCs w:val="0"/>
          <w:sz w:val="24"/>
        </w:rPr>
        <w:t>四川省建设</w:t>
      </w:r>
      <w:r>
        <w:rPr>
          <w:rFonts w:hint="eastAsia" w:ascii="宋体" w:hAnsi="宋体"/>
          <w:b/>
          <w:bCs w:val="0"/>
          <w:sz w:val="24"/>
          <w:lang w:val="en-US" w:eastAsia="zh-CN"/>
        </w:rPr>
        <w:t>工程</w:t>
      </w:r>
      <w:r>
        <w:rPr>
          <w:rFonts w:hint="eastAsia" w:ascii="宋体" w:hAnsi="宋体"/>
          <w:b/>
          <w:bCs w:val="0"/>
          <w:sz w:val="24"/>
        </w:rPr>
        <w:t>工程量清单计价定额</w:t>
      </w:r>
      <w:r>
        <w:rPr>
          <w:rFonts w:hint="eastAsia" w:ascii="宋体" w:hAnsi="宋体"/>
          <w:b/>
          <w:bCs w:val="0"/>
          <w:sz w:val="24"/>
          <w:lang w:val="en-US" w:eastAsia="zh-CN"/>
        </w:rPr>
        <w:t>依照新定额执行，</w:t>
      </w:r>
      <w:r>
        <w:rPr>
          <w:rFonts w:hint="eastAsia" w:ascii="宋体" w:hAnsi="宋体"/>
          <w:b/>
          <w:bCs w:val="0"/>
          <w:sz w:val="24"/>
        </w:rPr>
        <w:t>不足部分参套四川省其他版本定额。</w:t>
      </w:r>
    </w:p>
    <w:p>
      <w:pPr>
        <w:spacing w:line="348" w:lineRule="auto"/>
        <w:ind w:firstLine="480"/>
        <w:rPr>
          <w:rFonts w:hint="eastAsia" w:ascii="宋体" w:hAnsi="宋体"/>
          <w:b w:val="0"/>
          <w:bCs/>
          <w:sz w:val="24"/>
        </w:rPr>
      </w:pPr>
      <w:r>
        <w:rPr>
          <w:rFonts w:hint="eastAsia" w:ascii="宋体" w:hAnsi="宋体"/>
          <w:b w:val="0"/>
          <w:bCs/>
          <w:sz w:val="24"/>
        </w:rPr>
        <w:t>材料价格调差中调整价执行施工当期《四川省工程造价信息》中公布的达州市经开区材料价格，不足部分采用达州市建设工程造价信息中公布的价格；以上信息上都没有的材料采用经采购人确认的市场价（由采购申请人在采购前将材料价格报采购人计划营销部物资采购专责确认）。</w:t>
      </w:r>
    </w:p>
    <w:p>
      <w:pPr>
        <w:spacing w:line="348" w:lineRule="auto"/>
        <w:ind w:firstLine="480"/>
        <w:rPr>
          <w:rFonts w:hint="eastAsia" w:ascii="宋体" w:hAnsi="宋体"/>
          <w:b w:val="0"/>
          <w:bCs/>
          <w:sz w:val="24"/>
        </w:rPr>
      </w:pPr>
      <w:r>
        <w:rPr>
          <w:rFonts w:hint="eastAsia" w:ascii="宋体" w:hAnsi="宋体"/>
          <w:b w:val="0"/>
          <w:bCs/>
          <w:sz w:val="24"/>
        </w:rPr>
        <w:t>1.2结算方式：按“1.1计价方式计价”后，再进行总价下浮的方式结算。其中：安全文明施工费、规费、税费不参与总价下浮。</w:t>
      </w:r>
    </w:p>
    <w:p>
      <w:pPr>
        <w:spacing w:line="348" w:lineRule="auto"/>
        <w:ind w:firstLine="480"/>
        <w:rPr>
          <w:rFonts w:hint="eastAsia" w:ascii="宋体" w:hAnsi="宋体"/>
          <w:b w:val="0"/>
          <w:bCs/>
          <w:sz w:val="24"/>
        </w:rPr>
      </w:pPr>
      <w:r>
        <w:rPr>
          <w:rFonts w:hint="eastAsia" w:ascii="宋体" w:hAnsi="宋体"/>
          <w:b w:val="0"/>
          <w:bCs/>
          <w:sz w:val="24"/>
        </w:rPr>
        <w:t>1.3报价方法：采购申请人报出下浮费率部分的下浮百分比。下浮费率不得为负数(即按1.1计价方式计价后进行总价上浮结算)，否则作废标处理。</w:t>
      </w:r>
    </w:p>
    <w:p>
      <w:pPr>
        <w:spacing w:line="348" w:lineRule="auto"/>
        <w:ind w:firstLine="480"/>
        <w:rPr>
          <w:rFonts w:hint="eastAsia"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二</w:t>
      </w:r>
      <w:r>
        <w:rPr>
          <w:rFonts w:hint="eastAsia" w:ascii="宋体" w:hAnsi="宋体"/>
          <w:b w:val="0"/>
          <w:bCs/>
          <w:sz w:val="24"/>
          <w:lang w:eastAsia="zh-CN"/>
        </w:rPr>
        <w:t>）</w:t>
      </w:r>
      <w:r>
        <w:rPr>
          <w:rFonts w:hint="eastAsia" w:ascii="宋体" w:hAnsi="宋体"/>
          <w:b w:val="0"/>
          <w:bCs/>
          <w:sz w:val="24"/>
        </w:rPr>
        <w:t>计日工部分：</w:t>
      </w:r>
    </w:p>
    <w:p>
      <w:pPr>
        <w:spacing w:line="348" w:lineRule="auto"/>
        <w:ind w:firstLine="480"/>
        <w:rPr>
          <w:rFonts w:hint="eastAsia" w:ascii="宋体" w:hAnsi="宋体"/>
          <w:b w:val="0"/>
          <w:bCs/>
          <w:sz w:val="24"/>
        </w:rPr>
      </w:pPr>
      <w:r>
        <w:rPr>
          <w:rFonts w:hint="eastAsia" w:ascii="宋体" w:hAnsi="宋体"/>
          <w:b w:val="0"/>
          <w:bCs/>
          <w:sz w:val="24"/>
        </w:rPr>
        <w:t>适用于：无法按定额计算规则计量的情况。不分工种，按普工、技工分别报价。</w:t>
      </w:r>
    </w:p>
    <w:p>
      <w:pPr>
        <w:spacing w:line="348" w:lineRule="auto"/>
        <w:ind w:firstLine="480" w:firstLineChars="200"/>
        <w:rPr>
          <w:rFonts w:hint="eastAsia" w:ascii="宋体" w:hAnsi="宋体" w:cs="宋体"/>
          <w:b w:val="0"/>
          <w:bCs/>
          <w:kern w:val="0"/>
          <w:sz w:val="24"/>
        </w:rPr>
      </w:pPr>
      <w:r>
        <w:rPr>
          <w:rFonts w:hint="eastAsia" w:ascii="宋体" w:hAnsi="宋体" w:cs="宋体"/>
          <w:b w:val="0"/>
          <w:bCs/>
          <w:kern w:val="0"/>
          <w:sz w:val="24"/>
        </w:rPr>
        <w:t>2.1报价方法：采购申请人报出普工、技工综合单价（含税价）。</w:t>
      </w:r>
    </w:p>
    <w:p>
      <w:pPr>
        <w:ind w:firstLine="480" w:firstLineChars="200"/>
        <w:rPr>
          <w:rFonts w:hint="eastAsia"/>
          <w:b w:val="0"/>
          <w:bCs/>
          <w:lang w:val="en-US" w:eastAsia="zh-CN"/>
        </w:rPr>
      </w:pPr>
      <w:r>
        <w:rPr>
          <w:rFonts w:hint="eastAsia" w:ascii="宋体" w:hAnsi="宋体" w:cs="宋体"/>
          <w:b w:val="0"/>
          <w:bCs/>
          <w:kern w:val="0"/>
          <w:sz w:val="24"/>
        </w:rPr>
        <w:t>2.2结算方式：结算时，根据实际签证的计日工工日数乘以对应工日单价结算</w:t>
      </w:r>
      <w:r>
        <w:rPr>
          <w:rFonts w:hint="eastAsia" w:ascii="宋体" w:hAnsi="宋体" w:cs="宋体"/>
          <w:b w:val="0"/>
          <w:bCs/>
          <w:kern w:val="0"/>
          <w:sz w:val="24"/>
          <w:lang w:eastAsia="zh-CN"/>
        </w:rPr>
        <w:t>。</w:t>
      </w:r>
    </w:p>
    <w:p>
      <w:pPr>
        <w:spacing w:line="360" w:lineRule="auto"/>
        <w:ind w:firstLine="482" w:firstLineChars="200"/>
        <w:rPr>
          <w:rFonts w:hint="eastAsia"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lang w:val="en-US" w:eastAsia="zh-CN"/>
        </w:rPr>
        <w:t>八</w:t>
      </w:r>
      <w:r>
        <w:rPr>
          <w:rFonts w:hint="eastAsia" w:asciiTheme="majorEastAsia" w:hAnsiTheme="majorEastAsia" w:eastAsiaTheme="majorEastAsia" w:cstheme="majorEastAsia"/>
          <w:b/>
          <w:bCs/>
          <w:kern w:val="0"/>
          <w:sz w:val="24"/>
        </w:rPr>
        <w:t>、比选费用</w:t>
      </w:r>
      <w:r>
        <w:rPr>
          <w:rFonts w:hint="eastAsia" w:asciiTheme="majorEastAsia" w:hAnsiTheme="majorEastAsia" w:eastAsiaTheme="majorEastAsia" w:cstheme="majorEastAsia"/>
          <w:b/>
          <w:bCs/>
          <w:kern w:val="0"/>
          <w:sz w:val="24"/>
        </w:rPr>
        <w:tab/>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无论中选与否，比选申请人为编制比选申请文件和参加比选申请工作所需的一切费用自理。</w:t>
      </w:r>
    </w:p>
    <w:p>
      <w:pPr>
        <w:spacing w:line="360" w:lineRule="auto"/>
        <w:ind w:firstLine="482" w:firstLineChars="20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九、比选文件的澄清</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要求澄清比选文件的中介机构对比选文件理解不清或有疑问，可于比选申请文件递交截止时间2天前书面要求比选人进行解释或澄清，比选人认为有必要解释的问题将在比选申请文件递交截止时间1天前以书面形式答复，并分送所有已得到比选文件的比选申请人。该澄清或修改的内容作为比选文件的组成部分。</w:t>
      </w:r>
    </w:p>
    <w:p>
      <w:pPr>
        <w:spacing w:line="360" w:lineRule="auto"/>
        <w:ind w:firstLine="482" w:firstLineChars="20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十、比选文件的修改</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比选人在比选申请文件递交截止日前，可以对比选文件进行修改，这种修改可以是比选人主动提出的，也可以是为解答比选申请人澄清的问题做出的。</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修改条款将以书面形式发给所有获得比选文件的比选申请人,并对其有约束力,作为比选文件的组成部分。比选申请人收到修改文件后,应立即以书面形式通知比选人,确认已经收到。</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为了给比选申请人合理、充足的时间,比选人可以按规定酌情延长递交比选申请文件的截止时间，并书面通知比选申请人。</w:t>
      </w:r>
    </w:p>
    <w:p>
      <w:pPr>
        <w:spacing w:line="360" w:lineRule="auto"/>
        <w:ind w:firstLine="482" w:firstLineChars="20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十一、比选申请人的认可</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比选申请人应充分理解比选文件的全部内容，比选申请文件一经提交比选人，即表明比选申请人已经仔细阅读、调查和了解与项目有关的一切情况，并已理解比选文件的全部内容。</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比选申请人确认比选申请文件具有法律效力，与比选人的任何个人的口头协议均不能影响比选申请文件的任何条款和内容。</w:t>
      </w:r>
    </w:p>
    <w:p>
      <w:pPr>
        <w:spacing w:line="360" w:lineRule="auto"/>
        <w:ind w:firstLine="482" w:firstLineChars="20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十二、</w:t>
      </w:r>
      <w:bookmarkStart w:id="27" w:name="_Toc138213334"/>
      <w:bookmarkStart w:id="28" w:name="_Toc108421116"/>
      <w:bookmarkStart w:id="29" w:name="_Toc108345371"/>
      <w:bookmarkStart w:id="30" w:name="_Toc108421201"/>
      <w:bookmarkStart w:id="31" w:name="_Toc50174907"/>
      <w:bookmarkStart w:id="32" w:name="_Toc108421533"/>
      <w:r>
        <w:rPr>
          <w:rFonts w:hint="eastAsia" w:ascii="宋体" w:hAnsi="宋体" w:cs="宋体"/>
          <w:b/>
          <w:bCs/>
          <w:color w:val="000000"/>
          <w:kern w:val="0"/>
          <w:sz w:val="24"/>
          <w:lang w:val="en-US" w:eastAsia="zh-CN"/>
        </w:rPr>
        <w:t>比选申请文件的编制</w:t>
      </w:r>
      <w:bookmarkEnd w:id="27"/>
      <w:bookmarkEnd w:id="28"/>
      <w:bookmarkEnd w:id="29"/>
      <w:bookmarkEnd w:id="30"/>
      <w:bookmarkEnd w:id="31"/>
      <w:bookmarkEnd w:id="32"/>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（一）比选申请人应按比选文件（包括补充通知）规定的要求和格式编制比选申请文件并装订成册。比选申请文件正本一份、副本两份、电子文档（限U盘）1份，封面上应标明正本、副本字样。</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（二）比选申请文件应使用打印、复印或不能擦去的墨水书写，文字要清晰，语意要明确，并按比选申请文件的要求加盖单位公章（其他专用章无效）和法定代表人（或委托代理人）签名。</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（三）比选申请文件应避免涂改和插字，若为了改正错误必须这样做时，均应由法定代表人（或委托代理人）在修改处盖章或签名确认。</w:t>
      </w:r>
    </w:p>
    <w:p>
      <w:pPr>
        <w:spacing w:line="360" w:lineRule="auto"/>
        <w:ind w:firstLine="482" w:firstLineChars="200"/>
        <w:rPr>
          <w:rFonts w:hint="eastAsia" w:ascii="宋体" w:hAnsi="宋体" w:cs="宋体"/>
          <w:b/>
          <w:bCs/>
          <w:color w:val="000000"/>
          <w:kern w:val="0"/>
          <w:sz w:val="24"/>
          <w:lang w:val="en-US" w:eastAsia="zh-CN"/>
        </w:rPr>
      </w:pPr>
      <w:bookmarkStart w:id="33" w:name="_Toc44141096"/>
      <w:bookmarkStart w:id="34" w:name="_Toc16393523"/>
      <w:bookmarkStart w:id="35" w:name="_Toc109212566"/>
      <w:bookmarkStart w:id="36" w:name="_Toc43108380"/>
      <w:bookmarkStart w:id="37" w:name="_Toc17186110"/>
      <w:r>
        <w:rPr>
          <w:rFonts w:hint="eastAsia" w:ascii="宋体" w:hAnsi="宋体" w:cs="宋体"/>
          <w:b/>
          <w:bCs/>
          <w:color w:val="000000"/>
          <w:kern w:val="0"/>
          <w:sz w:val="24"/>
          <w:lang w:val="en-US" w:eastAsia="zh-CN"/>
        </w:rPr>
        <w:t>十三、比选申请文件的提交</w:t>
      </w:r>
      <w:bookmarkEnd w:id="33"/>
      <w:bookmarkEnd w:id="34"/>
      <w:bookmarkEnd w:id="35"/>
      <w:bookmarkEnd w:id="36"/>
      <w:bookmarkEnd w:id="37"/>
    </w:p>
    <w:p>
      <w:pPr>
        <w:spacing w:line="360" w:lineRule="auto"/>
        <w:ind w:firstLine="480" w:firstLineChars="200"/>
        <w:rPr>
          <w:rFonts w:hint="eastAsia" w:ascii="宋体" w:hAnsi="宋体" w:cs="宋体"/>
          <w:color w:val="000000"/>
          <w:kern w:val="0"/>
          <w:sz w:val="24"/>
          <w:lang w:val="en-US" w:eastAsia="zh-CN"/>
        </w:rPr>
      </w:pPr>
      <w:bookmarkStart w:id="38" w:name="_Toc109212567"/>
      <w:r>
        <w:rPr>
          <w:rFonts w:hint="eastAsia" w:ascii="宋体" w:hAnsi="宋体" w:cs="宋体"/>
          <w:color w:val="000000"/>
          <w:kern w:val="0"/>
          <w:sz w:val="24"/>
          <w:lang w:val="en-US" w:eastAsia="zh-CN"/>
        </w:rPr>
        <w:t>（一）比选申请文件的密封和标记</w:t>
      </w:r>
      <w:bookmarkEnd w:id="38"/>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比选申请文件应装袋密封，不密封的比选申请文件无效。封袋面上写明：</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 比选人的名称：四川川投燃气发电有限责任公司公司</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 比选的项目名称：2021年度土建维护项目</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（3） 标明“在 2021年1月7日上午10:30时前不准启封” </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 比选申请人的名称和地址</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 封袋封口处应加盖比选申请人公章</w:t>
      </w:r>
    </w:p>
    <w:p>
      <w:pPr>
        <w:spacing w:line="360" w:lineRule="auto"/>
        <w:ind w:firstLine="480" w:firstLineChars="200"/>
        <w:rPr>
          <w:rFonts w:hint="eastAsia" w:ascii="宋体" w:hAnsi="宋体" w:cs="宋体"/>
          <w:color w:val="000000"/>
          <w:kern w:val="0"/>
          <w:sz w:val="24"/>
          <w:lang w:val="en-US" w:eastAsia="zh-CN"/>
        </w:rPr>
      </w:pPr>
      <w:bookmarkStart w:id="39" w:name="_Toc109212568"/>
      <w:r>
        <w:rPr>
          <w:rFonts w:hint="eastAsia" w:ascii="宋体" w:hAnsi="宋体" w:cs="宋体"/>
          <w:color w:val="000000"/>
          <w:kern w:val="0"/>
          <w:sz w:val="24"/>
          <w:lang w:val="en-US" w:eastAsia="zh-CN"/>
        </w:rPr>
        <w:t>（二）比选申请文件递交截止时间</w:t>
      </w:r>
      <w:bookmarkEnd w:id="39"/>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比选申请人应在在 2021年1月18日上午10:30时前将比选申请文件送达。凡截止时间后送到的比选申请文件将被比选人拒绝接收。比选申请人应派法定代表人或其授权代表出席比选申请文件开启会议。比选申请人参加会议的法定代表人或其授权代表应携带本人身份证，在比选人指定的登记册上签到以证明其已出席开启会议。若比选申请人未派法定代表人或其授权代表出席开启会议，则比选人可宣布其已放弃参加比选。（如邮寄投标文件视为合格，正常开启比选申请文件）</w:t>
      </w:r>
    </w:p>
    <w:p>
      <w:pPr>
        <w:spacing w:line="360" w:lineRule="auto"/>
        <w:ind w:firstLine="482" w:firstLineChars="20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十四、比选申请人的报价</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比选申请人的报价应包括比选申请人通过比选后为完成合同规定的全部工作内容需支付的人员工资、管理费用、差旅费、保险、税金等一切费用和拟获得的利润，并考虑了应承担的风险和责任。</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比选申请人的报价为完成相关维护工作的总价。</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比选申请人应按规定的格式填写报价。</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比选申请报价应注明有效期，有效期应与比选申请文件有效期一致。</w:t>
      </w:r>
    </w:p>
    <w:p>
      <w:pPr>
        <w:spacing w:line="360" w:lineRule="auto"/>
        <w:ind w:firstLine="482" w:firstLineChars="20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十五、</w:t>
      </w:r>
      <w:bookmarkStart w:id="40" w:name="_Toc138213342"/>
      <w:bookmarkStart w:id="41" w:name="_Toc108421541"/>
      <w:bookmarkStart w:id="42" w:name="_Toc108421209"/>
      <w:bookmarkStart w:id="43" w:name="_Toc108345379"/>
      <w:bookmarkStart w:id="44" w:name="_Toc108421124"/>
      <w:bookmarkStart w:id="45" w:name="_Toc47005031"/>
      <w:r>
        <w:rPr>
          <w:rFonts w:hint="eastAsia" w:ascii="宋体" w:hAnsi="宋体" w:cs="宋体"/>
          <w:b/>
          <w:bCs/>
          <w:color w:val="000000"/>
          <w:kern w:val="0"/>
          <w:sz w:val="24"/>
          <w:lang w:val="en-US" w:eastAsia="zh-CN"/>
        </w:rPr>
        <w:t>比选申请文件有效期</w:t>
      </w:r>
      <w:bookmarkEnd w:id="40"/>
      <w:bookmarkEnd w:id="41"/>
      <w:bookmarkEnd w:id="42"/>
      <w:bookmarkEnd w:id="43"/>
      <w:bookmarkEnd w:id="44"/>
      <w:bookmarkEnd w:id="45"/>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自比选申请文件递交截止日起算，有效期为90天。</w:t>
      </w:r>
    </w:p>
    <w:p>
      <w:pPr>
        <w:spacing w:line="360" w:lineRule="auto"/>
        <w:ind w:firstLine="482" w:firstLineChars="20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十六、比选申请文件的开启</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比选人定于北京时间在 2021年1月7日上午10:30时在四川省达州市达经济开发区斌郎乡桥坝村四川川投燃气发电有限责任公司办公楼四楼会议室举行比选申请文件开启仪式，比选人将当众打开比选申请文件，宣布参加比选申请人的名称、比选报价等情况。</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比选人将编写一份开启记录，并由比选申请人法定代表人或其授权代表签字认可。</w:t>
      </w:r>
    </w:p>
    <w:p>
      <w:pPr>
        <w:spacing w:line="360" w:lineRule="auto"/>
        <w:ind w:firstLine="482" w:firstLineChars="20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十七、无论比选结果如何，参与比选的投标单位的比选申请文件均不退回。</w:t>
      </w:r>
    </w:p>
    <w:p>
      <w:pPr>
        <w:spacing w:line="360" w:lineRule="auto"/>
        <w:ind w:firstLine="482" w:firstLineChars="20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十八、比选人不对未中选人作任何解释。</w:t>
      </w:r>
    </w:p>
    <w:p>
      <w:pPr>
        <w:spacing w:line="360" w:lineRule="auto"/>
        <w:ind w:firstLine="482" w:firstLineChars="20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十九、比选申请人不得提供虚假文件，一经发现，将取消该比选申请人的比选资格。</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br w:type="page"/>
      </w:r>
    </w:p>
    <w:p>
      <w:pPr>
        <w:pStyle w:val="3"/>
        <w:spacing w:line="360" w:lineRule="auto"/>
      </w:pPr>
      <w:bookmarkStart w:id="46" w:name="_Toc4528"/>
      <w:r>
        <w:rPr>
          <w:rFonts w:hint="eastAsia"/>
        </w:rPr>
        <w:t>比选评审办法</w:t>
      </w:r>
      <w:bookmarkEnd w:id="46"/>
    </w:p>
    <w:p>
      <w:pPr>
        <w:spacing w:line="360" w:lineRule="auto"/>
        <w:ind w:firstLine="482" w:firstLineChars="20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一、比选人组建评审委员会</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评审委员会由3人或以上单数组成。</w:t>
      </w:r>
    </w:p>
    <w:p>
      <w:pPr>
        <w:spacing w:line="360" w:lineRule="auto"/>
        <w:ind w:firstLine="482" w:firstLineChars="200"/>
        <w:rPr>
          <w:rFonts w:hint="eastAsia" w:ascii="宋体" w:hAnsi="宋体" w:cs="宋体"/>
          <w:b/>
          <w:bCs/>
          <w:color w:val="000000"/>
          <w:kern w:val="0"/>
          <w:sz w:val="24"/>
          <w:lang w:val="en-US" w:eastAsia="zh-CN"/>
        </w:rPr>
      </w:pPr>
      <w:bookmarkStart w:id="47" w:name="_Ref77046541"/>
      <w:r>
        <w:rPr>
          <w:rFonts w:hint="eastAsia" w:ascii="宋体" w:hAnsi="宋体" w:cs="宋体"/>
          <w:b/>
          <w:bCs/>
          <w:color w:val="000000"/>
          <w:kern w:val="0"/>
          <w:sz w:val="24"/>
          <w:lang w:val="en-US" w:eastAsia="zh-CN"/>
        </w:rPr>
        <w:t>二、比选申请文件的资格评审</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评审委员会将审查比选申请人资格是否满足比选文件第二章要求，如果比选申请人资格不满足要求，其比选申请文件作为无效比选申请文件处理。</w:t>
      </w:r>
    </w:p>
    <w:p>
      <w:pPr>
        <w:spacing w:line="360" w:lineRule="auto"/>
        <w:ind w:firstLine="482" w:firstLineChars="20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三、比选申请文件的</w:t>
      </w:r>
      <w:bookmarkEnd w:id="47"/>
      <w:r>
        <w:rPr>
          <w:rFonts w:hint="eastAsia" w:ascii="宋体" w:hAnsi="宋体" w:cs="宋体"/>
          <w:b/>
          <w:bCs/>
          <w:color w:val="000000"/>
          <w:kern w:val="0"/>
          <w:sz w:val="24"/>
          <w:lang w:val="en-US" w:eastAsia="zh-CN"/>
        </w:rPr>
        <w:t>初步评审</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在详细审查之前，评审委员会要审查每份比选申请文件是否实质上响应了比选文件的要求，是否存在重大偏差。</w:t>
      </w:r>
    </w:p>
    <w:p>
      <w:pPr>
        <w:spacing w:line="360" w:lineRule="auto"/>
        <w:ind w:firstLine="482" w:firstLineChars="20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下列情况属于重大偏差：</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未按比选文件要求加盖单位公章或法定代表人（或授权代表）签字；</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未签署比选承诺函；</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授权委托书存在瑕疵；</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比选申请人未按规定的格式填写，内容不完整或关键字迹模糊、无法辨认的；</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比选申请人递交两份或多份内容不同的比选申请文件，或在一份比选申请文件中对同一比选申请范围报有两个或多个报价，且未声明哪一个为最终报价的；</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通过资格评审的所有比选申请人超过五家时，比选申请人比选报价偏离度达到下述两种情况之一：</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1比选报价明显偏低（低于通过资格评审的所有比选申请人算术平均报价的50％，即：报价/算术平均价＜50%）；</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2比选报价明显偏高（高于通过资格评审的所有比选申请人算术平均报价的50％，即：报价/算术平均价-1＞50%）；</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不符合比选文件及相关法律法规中规定的其它实质性要求。</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如果比选申请文件存在上述重大偏差之一，作为无效比选申请文件处理。比选申请人不得通过修正从而使其比选申请文件成为实际上响应的比选申请文件。</w:t>
      </w:r>
    </w:p>
    <w:p>
      <w:pPr>
        <w:spacing w:line="360" w:lineRule="auto"/>
        <w:ind w:firstLine="482" w:firstLineChars="200"/>
        <w:rPr>
          <w:rFonts w:hint="eastAsia" w:ascii="宋体" w:hAnsi="宋体"/>
          <w:sz w:val="24"/>
        </w:rPr>
      </w:pPr>
      <w:r>
        <w:rPr>
          <w:rFonts w:hint="eastAsia" w:ascii="宋体" w:hAnsi="宋体" w:cs="宋体"/>
          <w:b/>
          <w:bCs/>
          <w:color w:val="000000"/>
          <w:kern w:val="0"/>
          <w:sz w:val="24"/>
          <w:lang w:val="en-US" w:eastAsia="zh-CN"/>
        </w:rPr>
        <w:t>四、比选申请文件的详细</w:t>
      </w:r>
      <w:bookmarkStart w:id="48" w:name="_Toc479776150"/>
      <w:r>
        <w:rPr>
          <w:rFonts w:hint="eastAsia" w:ascii="宋体" w:hAnsi="宋体" w:eastAsia="宋体"/>
          <w:b/>
          <w:sz w:val="24"/>
          <w:szCs w:val="24"/>
        </w:rPr>
        <w:t>评审方法及标准</w:t>
      </w:r>
      <w:bookmarkEnd w:id="48"/>
    </w:p>
    <w:p>
      <w:pPr>
        <w:spacing w:line="348" w:lineRule="auto"/>
        <w:ind w:firstLine="482"/>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hint="eastAsia" w:ascii="宋体" w:hAnsi="宋体"/>
          <w:sz w:val="24"/>
        </w:rPr>
        <w:t>评审办法</w:t>
      </w:r>
    </w:p>
    <w:p>
      <w:pPr>
        <w:spacing w:line="348" w:lineRule="auto"/>
        <w:ind w:firstLine="482"/>
        <w:rPr>
          <w:rFonts w:hint="eastAsia" w:ascii="宋体" w:hAnsi="宋体" w:cs="宋体"/>
          <w:kern w:val="0"/>
          <w:sz w:val="24"/>
        </w:rPr>
      </w:pPr>
      <w:r>
        <w:rPr>
          <w:rFonts w:hint="eastAsia" w:ascii="宋体" w:hAnsi="宋体"/>
          <w:sz w:val="24"/>
          <w:lang w:val="en-US" w:eastAsia="zh-CN"/>
        </w:rPr>
        <w:t>1</w:t>
      </w:r>
      <w:r>
        <w:rPr>
          <w:rFonts w:hint="eastAsia" w:ascii="宋体" w:hAnsi="宋体"/>
          <w:sz w:val="24"/>
        </w:rPr>
        <w:t>采用</w:t>
      </w:r>
      <w:r>
        <w:rPr>
          <w:rFonts w:hint="eastAsia" w:ascii="宋体" w:hAnsi="宋体"/>
          <w:b/>
          <w:sz w:val="24"/>
        </w:rPr>
        <w:t>最低评标价法</w:t>
      </w:r>
      <w:r>
        <w:rPr>
          <w:rFonts w:hint="eastAsia" w:ascii="宋体" w:hAnsi="宋体"/>
          <w:sz w:val="24"/>
        </w:rPr>
        <w:t>，在全部满足</w:t>
      </w:r>
      <w:r>
        <w:rPr>
          <w:rFonts w:hint="eastAsia" w:ascii="宋体" w:hAnsi="宋体"/>
          <w:sz w:val="24"/>
          <w:lang w:val="en-US" w:eastAsia="zh-CN"/>
        </w:rPr>
        <w:t>比选</w:t>
      </w:r>
      <w:r>
        <w:rPr>
          <w:rFonts w:hint="eastAsia" w:ascii="宋体" w:hAnsi="宋体"/>
          <w:sz w:val="24"/>
        </w:rPr>
        <w:t>文件实质性要求的前提下，以报价综合得分</w:t>
      </w:r>
      <w:r>
        <w:rPr>
          <w:rFonts w:ascii="宋体" w:hAnsi="宋体" w:cs="宋体"/>
          <w:kern w:val="0"/>
          <w:sz w:val="24"/>
        </w:rPr>
        <w:t>由</w:t>
      </w:r>
      <w:r>
        <w:rPr>
          <w:rFonts w:hint="eastAsia" w:ascii="宋体" w:hAnsi="宋体" w:cs="宋体"/>
          <w:kern w:val="0"/>
          <w:sz w:val="24"/>
        </w:rPr>
        <w:t>高</w:t>
      </w:r>
      <w:r>
        <w:rPr>
          <w:rFonts w:ascii="宋体" w:hAnsi="宋体" w:cs="宋体"/>
          <w:kern w:val="0"/>
          <w:sz w:val="24"/>
        </w:rPr>
        <w:t>到</w:t>
      </w:r>
      <w:r>
        <w:rPr>
          <w:rFonts w:hint="eastAsia" w:ascii="宋体" w:hAnsi="宋体" w:cs="宋体"/>
          <w:kern w:val="0"/>
          <w:sz w:val="24"/>
        </w:rPr>
        <w:t>低</w:t>
      </w:r>
      <w:r>
        <w:rPr>
          <w:rFonts w:ascii="宋体" w:hAnsi="宋体" w:cs="宋体"/>
          <w:kern w:val="0"/>
          <w:sz w:val="24"/>
        </w:rPr>
        <w:t>的顺序推荐中</w:t>
      </w:r>
      <w:r>
        <w:rPr>
          <w:rFonts w:hint="eastAsia" w:ascii="宋体" w:hAnsi="宋体" w:cs="宋体"/>
          <w:kern w:val="0"/>
          <w:sz w:val="24"/>
        </w:rPr>
        <w:t>选</w:t>
      </w:r>
      <w:r>
        <w:rPr>
          <w:rFonts w:ascii="宋体" w:hAnsi="宋体" w:cs="宋体"/>
          <w:kern w:val="0"/>
          <w:sz w:val="24"/>
        </w:rPr>
        <w:t>候选人</w:t>
      </w:r>
      <w:r>
        <w:rPr>
          <w:rFonts w:hint="eastAsia" w:ascii="宋体" w:hAnsi="宋体" w:cs="宋体"/>
          <w:kern w:val="0"/>
          <w:sz w:val="24"/>
        </w:rPr>
        <w:t>。</w:t>
      </w:r>
    </w:p>
    <w:p>
      <w:pPr>
        <w:spacing w:line="348" w:lineRule="auto"/>
        <w:ind w:firstLine="482"/>
        <w:rPr>
          <w:rFonts w:hint="eastAsia" w:ascii="宋体" w:hAnsi="宋体" w:cs="宋体"/>
          <w:kern w:val="0"/>
          <w:sz w:val="24"/>
        </w:rPr>
      </w:pPr>
      <w:r>
        <w:rPr>
          <w:rFonts w:hint="eastAsia" w:ascii="宋体" w:hAnsi="宋体"/>
          <w:sz w:val="24"/>
        </w:rPr>
        <w:t>报价评审方法详见“（二）报价评审标准”。</w:t>
      </w:r>
    </w:p>
    <w:p>
      <w:pPr>
        <w:spacing w:line="348" w:lineRule="auto"/>
        <w:ind w:firstLine="480" w:firstLineChars="200"/>
        <w:rPr>
          <w:rFonts w:hint="eastAsia" w:ascii="宋体" w:hAnsi="宋体" w:cs="宋体"/>
          <w:kern w:val="0"/>
          <w:sz w:val="24"/>
        </w:rPr>
      </w:pPr>
      <w:r>
        <w:rPr>
          <w:rFonts w:hint="eastAsia" w:ascii="宋体" w:hAnsi="宋体" w:cs="宋体"/>
          <w:kern w:val="0"/>
          <w:sz w:val="24"/>
        </w:rPr>
        <w:t>2报价评审</w:t>
      </w:r>
    </w:p>
    <w:p>
      <w:pPr>
        <w:spacing w:line="348" w:lineRule="auto"/>
        <w:ind w:firstLine="480" w:firstLineChars="200"/>
        <w:rPr>
          <w:rFonts w:hint="eastAsia" w:ascii="宋体" w:hAnsi="宋体" w:cs="宋体"/>
          <w:kern w:val="0"/>
          <w:sz w:val="24"/>
        </w:rPr>
      </w:pPr>
      <w:r>
        <w:rPr>
          <w:rFonts w:hint="eastAsia" w:ascii="宋体" w:hAnsi="宋体" w:cs="宋体"/>
          <w:kern w:val="0"/>
          <w:sz w:val="24"/>
        </w:rPr>
        <w:t>评审小组可根据各</w:t>
      </w:r>
      <w:r>
        <w:rPr>
          <w:rFonts w:hint="eastAsia" w:ascii="宋体" w:hAnsi="宋体" w:cs="宋体"/>
          <w:kern w:val="0"/>
          <w:sz w:val="24"/>
          <w:lang w:val="en-US" w:eastAsia="zh-CN"/>
        </w:rPr>
        <w:t>比选</w:t>
      </w:r>
      <w:r>
        <w:rPr>
          <w:rFonts w:hint="eastAsia" w:ascii="宋体" w:hAnsi="宋体" w:cs="宋体"/>
          <w:kern w:val="0"/>
          <w:sz w:val="24"/>
        </w:rPr>
        <w:t>申请人报价情况决定是否要求进行二次报价。二次报价不得高于原报价，二次报价评审方法同“（二）报价评审标准”，根据二次报价得分由高到低的顺序推荐中选候选人。</w:t>
      </w:r>
    </w:p>
    <w:p>
      <w:pPr>
        <w:spacing w:line="348" w:lineRule="auto"/>
        <w:ind w:firstLine="480" w:firstLineChars="200"/>
        <w:rPr>
          <w:rFonts w:hint="eastAsia" w:ascii="宋体" w:hAnsi="宋体" w:cs="宋体"/>
          <w:kern w:val="0"/>
          <w:sz w:val="24"/>
        </w:rPr>
      </w:pPr>
      <w:r>
        <w:rPr>
          <w:rFonts w:hint="eastAsia" w:ascii="宋体" w:hAnsi="宋体" w:cs="宋体"/>
          <w:kern w:val="0"/>
          <w:sz w:val="24"/>
        </w:rPr>
        <w:t>若排名第一的中选候选人报价过高，导致年度土建维护费用可能高于</w:t>
      </w:r>
      <w:r>
        <w:rPr>
          <w:rFonts w:hint="eastAsia" w:ascii="宋体" w:hAnsi="宋体" w:cs="宋体"/>
          <w:kern w:val="0"/>
          <w:sz w:val="24"/>
          <w:lang w:eastAsia="zh-CN"/>
        </w:rPr>
        <w:t>比选</w:t>
      </w:r>
      <w:r>
        <w:rPr>
          <w:rFonts w:hint="eastAsia" w:ascii="宋体" w:hAnsi="宋体" w:cs="宋体"/>
          <w:kern w:val="0"/>
          <w:sz w:val="24"/>
        </w:rPr>
        <w:t>人年度预算，</w:t>
      </w:r>
      <w:r>
        <w:rPr>
          <w:rFonts w:hint="eastAsia" w:ascii="宋体" w:hAnsi="宋体" w:cs="宋体"/>
          <w:kern w:val="0"/>
          <w:sz w:val="24"/>
          <w:lang w:val="en-US" w:eastAsia="zh-CN"/>
        </w:rPr>
        <w:t>比选</w:t>
      </w:r>
      <w:r>
        <w:rPr>
          <w:rFonts w:hint="eastAsia" w:ascii="宋体" w:hAnsi="宋体" w:cs="宋体"/>
          <w:kern w:val="0"/>
          <w:sz w:val="24"/>
        </w:rPr>
        <w:t>人有权在不改变技术要求的前提下与第一中标候选人进行价格谈判，谈判结果不得高于原报价（有二次报价的不得高于二次报价）。</w:t>
      </w:r>
    </w:p>
    <w:p>
      <w:pPr>
        <w:spacing w:line="348" w:lineRule="auto"/>
        <w:ind w:firstLine="480" w:firstLineChars="200"/>
        <w:rPr>
          <w:rFonts w:hint="eastAsia" w:ascii="宋体" w:hAnsi="宋体" w:cs="宋体"/>
          <w:kern w:val="0"/>
          <w:sz w:val="24"/>
        </w:rPr>
      </w:pPr>
      <w:r>
        <w:rPr>
          <w:rFonts w:hint="eastAsia" w:ascii="宋体" w:hAnsi="宋体" w:cs="宋体"/>
          <w:kern w:val="0"/>
          <w:sz w:val="24"/>
        </w:rPr>
        <w:t>3优先原则</w:t>
      </w:r>
    </w:p>
    <w:p>
      <w:pPr>
        <w:spacing w:line="348" w:lineRule="auto"/>
        <w:ind w:firstLine="480" w:firstLineChars="200"/>
        <w:rPr>
          <w:rFonts w:hint="eastAsia" w:ascii="宋体" w:hAnsi="宋体" w:cs="宋体"/>
          <w:kern w:val="0"/>
          <w:sz w:val="24"/>
        </w:rPr>
      </w:pPr>
      <w:r>
        <w:rPr>
          <w:rFonts w:hint="eastAsia" w:ascii="宋体" w:hAnsi="宋体"/>
          <w:sz w:val="24"/>
        </w:rPr>
        <w:t>同等条件下，优先考虑</w:t>
      </w:r>
      <w:r>
        <w:rPr>
          <w:rFonts w:ascii="宋体" w:hAnsi="宋体" w:cs="宋体"/>
          <w:kern w:val="0"/>
          <w:sz w:val="24"/>
        </w:rPr>
        <w:t>具有从事</w:t>
      </w:r>
      <w:r>
        <w:rPr>
          <w:rFonts w:hint="eastAsia" w:ascii="宋体" w:hAnsi="宋体" w:cs="宋体"/>
          <w:kern w:val="0"/>
          <w:sz w:val="24"/>
        </w:rPr>
        <w:t>装</w:t>
      </w:r>
      <w:r>
        <w:rPr>
          <w:rFonts w:ascii="宋体" w:hAnsi="宋体" w:cs="宋体"/>
          <w:kern w:val="0"/>
          <w:sz w:val="24"/>
        </w:rPr>
        <w:t>机容量</w:t>
      </w:r>
      <w:r>
        <w:rPr>
          <w:rFonts w:hint="eastAsia" w:ascii="宋体" w:hAnsi="宋体" w:cs="宋体"/>
          <w:kern w:val="0"/>
          <w:sz w:val="24"/>
        </w:rPr>
        <w:t>100</w:t>
      </w:r>
      <w:r>
        <w:rPr>
          <w:rFonts w:ascii="宋体" w:hAnsi="宋体" w:cs="宋体"/>
          <w:kern w:val="0"/>
          <w:sz w:val="24"/>
        </w:rPr>
        <w:t>MW级及以上的火力发电厂的</w:t>
      </w:r>
      <w:r>
        <w:rPr>
          <w:rFonts w:hint="eastAsia" w:ascii="宋体" w:hAnsi="宋体" w:cs="宋体"/>
          <w:kern w:val="0"/>
          <w:sz w:val="24"/>
        </w:rPr>
        <w:t>一</w:t>
      </w:r>
      <w:r>
        <w:rPr>
          <w:rFonts w:ascii="宋体" w:hAnsi="宋体" w:cs="宋体"/>
          <w:kern w:val="0"/>
          <w:sz w:val="24"/>
        </w:rPr>
        <w:t>个</w:t>
      </w:r>
      <w:r>
        <w:rPr>
          <w:rFonts w:hint="eastAsia" w:ascii="宋体" w:hAnsi="宋体" w:cs="宋体"/>
          <w:kern w:val="0"/>
          <w:sz w:val="24"/>
        </w:rPr>
        <w:t>及</w:t>
      </w:r>
      <w:r>
        <w:rPr>
          <w:rFonts w:ascii="宋体" w:hAnsi="宋体" w:cs="宋体"/>
          <w:kern w:val="0"/>
          <w:sz w:val="24"/>
        </w:rPr>
        <w:t>以上类似土建工程业绩</w:t>
      </w:r>
      <w:r>
        <w:rPr>
          <w:rFonts w:hint="eastAsia" w:ascii="宋体" w:hAnsi="宋体" w:cs="宋体"/>
          <w:kern w:val="0"/>
          <w:sz w:val="24"/>
        </w:rPr>
        <w:t>（以合同复印件为准）的</w:t>
      </w:r>
      <w:r>
        <w:rPr>
          <w:rFonts w:hint="eastAsia" w:ascii="宋体" w:hAnsi="宋体" w:cs="宋体"/>
          <w:kern w:val="0"/>
          <w:sz w:val="24"/>
          <w:lang w:val="en-US" w:eastAsia="zh-CN"/>
        </w:rPr>
        <w:t>比选</w:t>
      </w:r>
      <w:r>
        <w:rPr>
          <w:rFonts w:hint="eastAsia" w:ascii="宋体" w:hAnsi="宋体" w:cs="宋体"/>
          <w:kern w:val="0"/>
          <w:sz w:val="24"/>
        </w:rPr>
        <w:t>申请人。</w:t>
      </w:r>
    </w:p>
    <w:p>
      <w:pPr>
        <w:spacing w:line="348" w:lineRule="auto"/>
        <w:ind w:firstLine="480" w:firstLineChars="200"/>
        <w:rPr>
          <w:rFonts w:hint="eastAsia" w:ascii="宋体" w:hAnsi="宋体" w:cs="宋体"/>
          <w:kern w:val="0"/>
          <w:sz w:val="24"/>
        </w:rPr>
      </w:pPr>
      <w:r>
        <w:rPr>
          <w:rFonts w:hint="eastAsia" w:ascii="宋体" w:hAnsi="宋体" w:cs="宋体"/>
          <w:kern w:val="0"/>
          <w:sz w:val="24"/>
        </w:rPr>
        <w:t>4更正与补充</w:t>
      </w:r>
    </w:p>
    <w:p>
      <w:pPr>
        <w:spacing w:line="348" w:lineRule="auto"/>
        <w:ind w:firstLine="480" w:firstLineChars="200"/>
        <w:rPr>
          <w:rFonts w:hint="eastAsia" w:ascii="宋体" w:hAnsi="宋体" w:cs="宋体"/>
          <w:kern w:val="0"/>
          <w:sz w:val="24"/>
        </w:rPr>
      </w:pPr>
      <w:r>
        <w:rPr>
          <w:rFonts w:hint="eastAsia" w:ascii="宋体" w:hAnsi="宋体" w:cs="宋体"/>
          <w:kern w:val="0"/>
          <w:sz w:val="24"/>
          <w:lang w:val="en-US" w:eastAsia="zh-CN"/>
        </w:rPr>
        <w:t>比选</w:t>
      </w:r>
      <w:r>
        <w:rPr>
          <w:rFonts w:hint="eastAsia" w:ascii="宋体" w:hAnsi="宋体" w:cs="宋体"/>
          <w:kern w:val="0"/>
          <w:sz w:val="24"/>
        </w:rPr>
        <w:t>申请文件存在可以当场更正的错误，如未按规定签字、盖章等，经评审小组提出，可以当场更正。在规定的时间内不更正的，按不符合要求处理。</w:t>
      </w:r>
    </w:p>
    <w:p>
      <w:pPr>
        <w:spacing w:line="348" w:lineRule="auto"/>
        <w:ind w:firstLine="480" w:firstLineChars="200"/>
        <w:rPr>
          <w:rFonts w:hint="eastAsia" w:ascii="宋体" w:hAnsi="宋体" w:cs="宋体"/>
          <w:kern w:val="0"/>
          <w:sz w:val="24"/>
        </w:rPr>
      </w:pPr>
      <w:r>
        <w:rPr>
          <w:rFonts w:hint="eastAsia" w:ascii="宋体" w:hAnsi="宋体" w:cs="宋体"/>
          <w:kern w:val="0"/>
          <w:sz w:val="24"/>
          <w:lang w:eastAsia="zh-CN"/>
        </w:rPr>
        <w:t>比选</w:t>
      </w:r>
      <w:r>
        <w:rPr>
          <w:rFonts w:hint="eastAsia" w:ascii="宋体" w:hAnsi="宋体" w:cs="宋体"/>
          <w:kern w:val="0"/>
          <w:sz w:val="24"/>
        </w:rPr>
        <w:t>申请文件的个别材料不齐全，应当告知</w:t>
      </w:r>
      <w:r>
        <w:rPr>
          <w:rFonts w:hint="eastAsia" w:ascii="宋体" w:hAnsi="宋体" w:cs="宋体"/>
          <w:kern w:val="0"/>
          <w:sz w:val="24"/>
          <w:lang w:eastAsia="zh-CN"/>
        </w:rPr>
        <w:t>比选</w:t>
      </w:r>
      <w:r>
        <w:rPr>
          <w:rFonts w:hint="eastAsia" w:ascii="宋体" w:hAnsi="宋体" w:cs="宋体"/>
          <w:kern w:val="0"/>
          <w:sz w:val="24"/>
        </w:rPr>
        <w:t>申请人需要补充的内容，允许其在规定的合理时间内补齐。在规定的时间内不补齐的，按不符合要求处理。</w:t>
      </w:r>
    </w:p>
    <w:p>
      <w:pPr>
        <w:pStyle w:val="12"/>
        <w:spacing w:line="348" w:lineRule="auto"/>
        <w:ind w:firstLine="480" w:firstLineChars="200"/>
        <w:rPr>
          <w:rFonts w:hint="eastAsia" w:ascii="宋体" w:hAnsi="宋体"/>
          <w:sz w:val="24"/>
        </w:rPr>
      </w:pPr>
      <w:bookmarkStart w:id="49" w:name="_Toc346549859"/>
      <w:r>
        <w:rPr>
          <w:rFonts w:hint="eastAsia" w:ascii="宋体" w:hAnsi="宋体"/>
          <w:sz w:val="24"/>
        </w:rPr>
        <w:t>（二）报价评审标准</w:t>
      </w:r>
    </w:p>
    <w:bookmarkEnd w:id="49"/>
    <w:p>
      <w:pPr>
        <w:pStyle w:val="12"/>
        <w:spacing w:line="348" w:lineRule="auto"/>
        <w:ind w:firstLine="480" w:firstLineChars="200"/>
        <w:rPr>
          <w:rFonts w:hint="eastAsia" w:ascii="宋体" w:hAnsi="宋体"/>
          <w:sz w:val="24"/>
        </w:rPr>
      </w:pPr>
      <w:r>
        <w:rPr>
          <w:rFonts w:hint="eastAsia" w:ascii="宋体" w:hAnsi="宋体"/>
          <w:sz w:val="24"/>
        </w:rPr>
        <w:t xml:space="preserve">报价评审满分100分，包含以下三部分： </w:t>
      </w:r>
    </w:p>
    <w:p>
      <w:pPr>
        <w:pStyle w:val="12"/>
        <w:spacing w:line="348"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下浮费率部分：满分</w:t>
      </w:r>
      <w:r>
        <w:rPr>
          <w:rFonts w:hint="eastAsia" w:ascii="宋体" w:hAnsi="宋体"/>
          <w:sz w:val="24"/>
          <w:lang w:val="en-US" w:eastAsia="zh-CN"/>
        </w:rPr>
        <w:t>50</w:t>
      </w:r>
      <w:r>
        <w:rPr>
          <w:rFonts w:hint="eastAsia" w:ascii="宋体" w:hAnsi="宋体"/>
          <w:sz w:val="24"/>
        </w:rPr>
        <w:t>分。</w:t>
      </w:r>
    </w:p>
    <w:p>
      <w:pPr>
        <w:pStyle w:val="12"/>
        <w:spacing w:line="348" w:lineRule="auto"/>
        <w:ind w:firstLine="480" w:firstLineChars="200"/>
        <w:rPr>
          <w:rFonts w:hint="eastAsia" w:ascii="宋体" w:hAnsi="宋体"/>
          <w:sz w:val="24"/>
        </w:rPr>
      </w:pPr>
      <w:r>
        <w:rPr>
          <w:rFonts w:hint="eastAsia" w:ascii="宋体" w:hAnsi="宋体"/>
          <w:sz w:val="24"/>
        </w:rPr>
        <w:t>（1）报价最低者（下浮百分比最大，低于成本者除外）得满分50分；</w:t>
      </w:r>
    </w:p>
    <w:p>
      <w:pPr>
        <w:pStyle w:val="12"/>
        <w:spacing w:line="348" w:lineRule="auto"/>
        <w:ind w:firstLine="480" w:firstLineChars="200"/>
        <w:rPr>
          <w:rFonts w:hint="eastAsia" w:ascii="宋体" w:hAnsi="宋体"/>
          <w:sz w:val="24"/>
        </w:rPr>
      </w:pPr>
      <w:r>
        <w:rPr>
          <w:rFonts w:hint="eastAsia" w:ascii="宋体" w:hAnsi="宋体"/>
          <w:sz w:val="24"/>
        </w:rPr>
        <w:t>（2）以报价最低者为基准值，下浮系数在最低报价基础上每少下浮1%扣2分，扣完为止。（例如：最低为10%，得50分；报价9%，在最低报价基础上少下浮1%，则得分48分；报价5%，则得分40分）。</w:t>
      </w:r>
    </w:p>
    <w:p>
      <w:pPr>
        <w:pStyle w:val="12"/>
        <w:spacing w:line="348" w:lineRule="auto"/>
        <w:ind w:firstLine="480" w:firstLineChars="200"/>
        <w:rPr>
          <w:rFonts w:hint="eastAsia" w:ascii="宋体" w:hAnsi="宋体"/>
          <w:sz w:val="24"/>
        </w:rPr>
      </w:pPr>
      <w:r>
        <w:rPr>
          <w:rFonts w:hint="eastAsia" w:ascii="宋体" w:hAnsi="宋体"/>
          <w:sz w:val="24"/>
        </w:rPr>
        <w:t>（3）下浮费率不得为负数（即总价上浮），否则作废标处理。</w:t>
      </w:r>
    </w:p>
    <w:p>
      <w:pPr>
        <w:pStyle w:val="12"/>
        <w:spacing w:line="348"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计日工部分：普工、技工满分各为2</w:t>
      </w:r>
      <w:r>
        <w:rPr>
          <w:rFonts w:hint="eastAsia" w:ascii="宋体" w:hAnsi="宋体"/>
          <w:sz w:val="24"/>
          <w:lang w:val="en-US" w:eastAsia="zh-CN"/>
        </w:rPr>
        <w:t>5</w:t>
      </w:r>
      <w:r>
        <w:rPr>
          <w:rFonts w:hint="eastAsia" w:ascii="宋体" w:hAnsi="宋体"/>
          <w:sz w:val="24"/>
        </w:rPr>
        <w:t>分,总分</w:t>
      </w:r>
      <w:r>
        <w:rPr>
          <w:rFonts w:hint="eastAsia" w:ascii="宋体" w:hAnsi="宋体"/>
          <w:sz w:val="24"/>
          <w:lang w:val="en-US" w:eastAsia="zh-CN"/>
        </w:rPr>
        <w:t>50</w:t>
      </w:r>
      <w:r>
        <w:rPr>
          <w:rFonts w:hint="eastAsia" w:ascii="宋体" w:hAnsi="宋体"/>
          <w:sz w:val="24"/>
        </w:rPr>
        <w:t>分。</w:t>
      </w:r>
    </w:p>
    <w:p>
      <w:pPr>
        <w:pStyle w:val="12"/>
        <w:spacing w:line="348" w:lineRule="auto"/>
        <w:ind w:firstLine="480"/>
        <w:rPr>
          <w:rFonts w:hint="eastAsia" w:ascii="宋体" w:hAnsi="宋体"/>
          <w:sz w:val="24"/>
        </w:rPr>
      </w:pPr>
      <w:r>
        <w:rPr>
          <w:rFonts w:hint="eastAsia" w:ascii="宋体" w:hAnsi="宋体"/>
          <w:sz w:val="24"/>
        </w:rPr>
        <w:t>（1）普工、技工单价分别报价最低者（低于成本者除外）各得满分2</w:t>
      </w:r>
      <w:r>
        <w:rPr>
          <w:rFonts w:hint="eastAsia" w:ascii="宋体" w:hAnsi="宋体"/>
          <w:sz w:val="24"/>
          <w:lang w:val="en-US" w:eastAsia="zh-CN"/>
        </w:rPr>
        <w:t>5</w:t>
      </w:r>
      <w:r>
        <w:rPr>
          <w:rFonts w:hint="eastAsia" w:ascii="宋体" w:hAnsi="宋体"/>
          <w:sz w:val="24"/>
        </w:rPr>
        <w:t>分。</w:t>
      </w:r>
    </w:p>
    <w:p>
      <w:pPr>
        <w:pStyle w:val="12"/>
        <w:spacing w:line="348" w:lineRule="auto"/>
        <w:ind w:firstLine="465"/>
        <w:rPr>
          <w:rFonts w:hint="eastAsia" w:ascii="宋体" w:hAnsi="宋体" w:cs="宋体"/>
          <w:kern w:val="0"/>
          <w:sz w:val="24"/>
        </w:rPr>
      </w:pPr>
      <w:r>
        <w:rPr>
          <w:rFonts w:hint="eastAsia" w:ascii="宋体" w:hAnsi="宋体"/>
          <w:sz w:val="24"/>
        </w:rPr>
        <w:t>（2）以报价最低者为基准值，其余报价每高于基准值1%扣</w:t>
      </w:r>
      <w:r>
        <w:rPr>
          <w:rFonts w:hint="eastAsia" w:ascii="宋体" w:hAnsi="宋体"/>
          <w:sz w:val="24"/>
          <w:lang w:val="en-US" w:eastAsia="zh-CN"/>
        </w:rPr>
        <w:t>1</w:t>
      </w:r>
      <w:r>
        <w:rPr>
          <w:rFonts w:hint="eastAsia" w:ascii="宋体" w:hAnsi="宋体"/>
          <w:sz w:val="24"/>
        </w:rPr>
        <w:t>分，扣完为止。</w:t>
      </w:r>
    </w:p>
    <w:p>
      <w:pPr>
        <w:pStyle w:val="12"/>
        <w:spacing w:line="348" w:lineRule="auto"/>
        <w:ind w:firstLine="480" w:firstLineChars="200"/>
        <w:rPr>
          <w:rFonts w:hint="eastAsia" w:ascii="宋体" w:hAnsi="宋体" w:cs="宋体"/>
          <w:color w:val="000000"/>
          <w:kern w:val="0"/>
          <w:sz w:val="24"/>
          <w:lang w:val="en-US" w:eastAsia="zh-CN"/>
        </w:rPr>
      </w:pPr>
      <w:r>
        <w:rPr>
          <w:rFonts w:hint="eastAsia" w:ascii="宋体" w:hAnsi="宋体" w:cs="宋体"/>
          <w:kern w:val="0"/>
          <w:sz w:val="24"/>
        </w:rPr>
        <w:t>以上1、2项得分汇总，为报价总得分</w:t>
      </w:r>
      <w:r>
        <w:rPr>
          <w:rFonts w:hint="eastAsia" w:ascii="宋体" w:hAnsi="宋体" w:cs="宋体"/>
          <w:kern w:val="0"/>
          <w:sz w:val="24"/>
          <w:lang w:eastAsia="zh-CN"/>
        </w:rPr>
        <w:t>。</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推荐谈判候选人</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评审委员会根据评分统计结果按综合得分从高到低排序，排序在前三名的比选申请人为合同谈判候选人。</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确定中选人</w:t>
      </w:r>
    </w:p>
    <w:p>
      <w:pPr>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比选人谈判小组按照综合得分高低，依次与评审委员会推荐的合同谈判候选人进行合同谈判，合同谈判候选人可以二次报价，但二次报价金额不能高于第一次报价，二次报价后按第四章第四条第（一）款（比选报价评分）重新计算报价得分，加上其技术得分，作为比选申请人的最后综合得分。比选人根据谈判及比选申请人最后综合得分情况确定最终中选人。</w:t>
      </w:r>
    </w:p>
    <w:p>
      <w:pPr>
        <w:tabs>
          <w:tab w:val="left" w:pos="840"/>
        </w:tabs>
        <w:snapToGrid w:val="0"/>
        <w:spacing w:line="360" w:lineRule="auto"/>
        <w:rPr>
          <w:rFonts w:ascii="仿宋_GB2312" w:eastAsia="仿宋_GB2312"/>
          <w:kern w:val="0"/>
        </w:rPr>
      </w:pPr>
    </w:p>
    <w:p>
      <w:pPr>
        <w:pStyle w:val="2"/>
      </w:pPr>
    </w:p>
    <w:p>
      <w:pPr>
        <w:widowControl w:val="0"/>
        <w:spacing w:line="360" w:lineRule="auto"/>
        <w:jc w:val="both"/>
        <w:rPr>
          <w:rFonts w:hint="eastAsia" w:ascii="黑体" w:eastAsia="黑体"/>
          <w:b/>
          <w:sz w:val="28"/>
          <w:szCs w:val="28"/>
        </w:rPr>
      </w:pPr>
    </w:p>
    <w:p>
      <w:pPr>
        <w:spacing w:line="360" w:lineRule="auto"/>
        <w:ind w:firstLine="5250" w:firstLineChars="2500"/>
        <w:outlineLvl w:val="0"/>
        <w:rPr>
          <w:rFonts w:ascii="仿宋_GB2312" w:eastAsia="仿宋_GB2312"/>
          <w:kern w:val="0"/>
        </w:rPr>
      </w:pPr>
      <w:r>
        <w:rPr>
          <w:rFonts w:hint="eastAsia" w:ascii="仿宋_GB2312" w:hAnsi="Arial" w:eastAsia="仿宋_GB2312" w:cs="Arial"/>
          <w:szCs w:val="21"/>
        </w:rPr>
        <w:t xml:space="preserve">                                   </w:t>
      </w:r>
      <w:r>
        <w:rPr>
          <w:rFonts w:ascii="仿宋_GB2312" w:eastAsia="仿宋_GB2312"/>
          <w:kern w:val="0"/>
        </w:rPr>
        <w:br w:type="page"/>
      </w:r>
    </w:p>
    <w:p>
      <w:pPr>
        <w:jc w:val="left"/>
        <w:rPr>
          <w:rFonts w:ascii="仿宋_GB2312" w:hAnsi="Times New Roman" w:eastAsia="仿宋_GB2312" w:cs="Times New Roman"/>
          <w:kern w:val="0"/>
          <w:sz w:val="21"/>
          <w:szCs w:val="24"/>
          <w:lang w:val="en-US" w:eastAsia="zh-CN" w:bidi="ar-SA"/>
        </w:rPr>
      </w:pPr>
    </w:p>
    <w:p>
      <w:pPr>
        <w:pStyle w:val="3"/>
        <w:spacing w:line="360" w:lineRule="auto"/>
      </w:pPr>
      <w:bookmarkStart w:id="50" w:name="_Toc23746"/>
      <w:r>
        <w:rPr>
          <w:rFonts w:hint="eastAsia"/>
        </w:rPr>
        <w:t>编制比选申请文件</w:t>
      </w:r>
      <w:bookmarkEnd w:id="50"/>
    </w:p>
    <w:p>
      <w:pPr>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比选申请文件按本章要求编制。</w:t>
      </w:r>
    </w:p>
    <w:p>
      <w:pPr>
        <w:pStyle w:val="4"/>
        <w:rPr>
          <w:rFonts w:hint="eastAsia" w:asciiTheme="majorEastAsia" w:hAnsiTheme="majorEastAsia" w:eastAsiaTheme="majorEastAsia" w:cstheme="majorEastAsia"/>
        </w:rPr>
      </w:pPr>
      <w:bookmarkStart w:id="51" w:name="_Toc355875839"/>
      <w:bookmarkStart w:id="52" w:name="_Toc355712555"/>
      <w:bookmarkStart w:id="53" w:name="_Toc355713699"/>
      <w:bookmarkStart w:id="54" w:name="_Toc10248"/>
      <w:bookmarkStart w:id="55" w:name="_Toc355712668"/>
      <w:bookmarkStart w:id="56" w:name="_Toc355860714"/>
      <w:bookmarkStart w:id="57" w:name="_Toc355792441"/>
      <w:r>
        <w:rPr>
          <w:rFonts w:hint="eastAsia" w:asciiTheme="majorEastAsia" w:hAnsiTheme="majorEastAsia" w:eastAsiaTheme="majorEastAsia" w:cstheme="majorEastAsia"/>
        </w:rPr>
        <w:t>比选申请文件的组成</w:t>
      </w:r>
      <w:bookmarkEnd w:id="51"/>
      <w:bookmarkEnd w:id="52"/>
      <w:bookmarkEnd w:id="53"/>
      <w:bookmarkEnd w:id="54"/>
      <w:bookmarkEnd w:id="55"/>
      <w:bookmarkEnd w:id="56"/>
      <w:bookmarkEnd w:id="57"/>
    </w:p>
    <w:p>
      <w:pPr>
        <w:spacing w:line="360" w:lineRule="auto"/>
        <w:ind w:firstLine="480" w:firstLineChars="20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比选申请人应按比选文件规定的内容和格式编制并提交比选申请文件，比选申请文件应包括：</w:t>
      </w:r>
    </w:p>
    <w:p>
      <w:pPr>
        <w:numPr>
          <w:ilvl w:val="0"/>
          <w:numId w:val="8"/>
        </w:numPr>
        <w:tabs>
          <w:tab w:val="left" w:pos="482"/>
          <w:tab w:val="clear" w:pos="796"/>
        </w:tabs>
        <w:spacing w:line="360" w:lineRule="auto"/>
        <w:ind w:left="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比选申请文件封面；</w:t>
      </w:r>
    </w:p>
    <w:p>
      <w:pPr>
        <w:numPr>
          <w:ilvl w:val="0"/>
          <w:numId w:val="8"/>
        </w:numPr>
        <w:tabs>
          <w:tab w:val="left" w:pos="482"/>
          <w:tab w:val="clear" w:pos="796"/>
        </w:tabs>
        <w:spacing w:line="360" w:lineRule="auto"/>
        <w:ind w:left="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比选报价书；</w:t>
      </w:r>
    </w:p>
    <w:p>
      <w:pPr>
        <w:numPr>
          <w:ilvl w:val="0"/>
          <w:numId w:val="8"/>
        </w:numPr>
        <w:tabs>
          <w:tab w:val="left" w:pos="482"/>
          <w:tab w:val="clear" w:pos="796"/>
        </w:tabs>
        <w:spacing w:line="360" w:lineRule="auto"/>
        <w:ind w:left="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授权委托书；</w:t>
      </w:r>
    </w:p>
    <w:p>
      <w:pPr>
        <w:numPr>
          <w:ilvl w:val="0"/>
          <w:numId w:val="8"/>
        </w:numPr>
        <w:tabs>
          <w:tab w:val="left" w:pos="482"/>
          <w:tab w:val="left" w:pos="632"/>
          <w:tab w:val="clear" w:pos="796"/>
        </w:tabs>
        <w:spacing w:line="360" w:lineRule="auto"/>
        <w:ind w:left="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比选申请人承诺函；</w:t>
      </w:r>
    </w:p>
    <w:p>
      <w:pPr>
        <w:numPr>
          <w:ilvl w:val="0"/>
          <w:numId w:val="8"/>
        </w:numPr>
        <w:tabs>
          <w:tab w:val="left" w:pos="482"/>
          <w:tab w:val="clear" w:pos="796"/>
        </w:tabs>
        <w:spacing w:line="360" w:lineRule="auto"/>
        <w:ind w:left="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比选申请人基本情况表；</w:t>
      </w:r>
    </w:p>
    <w:p>
      <w:pPr>
        <w:numPr>
          <w:ilvl w:val="0"/>
          <w:numId w:val="8"/>
        </w:numPr>
        <w:tabs>
          <w:tab w:val="left" w:pos="482"/>
          <w:tab w:val="clear" w:pos="796"/>
        </w:tabs>
        <w:spacing w:line="360" w:lineRule="auto"/>
        <w:ind w:left="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资格审查资料；</w:t>
      </w:r>
    </w:p>
    <w:p>
      <w:pPr>
        <w:numPr>
          <w:ilvl w:val="0"/>
          <w:numId w:val="0"/>
        </w:numPr>
        <w:tabs>
          <w:tab w:val="left" w:pos="482"/>
        </w:tabs>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lang w:val="en-US" w:eastAsia="zh-CN"/>
        </w:rPr>
        <w:t>七</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lang w:val="en-US" w:eastAsia="zh-CN"/>
        </w:rPr>
        <w:t>实施</w:t>
      </w:r>
      <w:r>
        <w:rPr>
          <w:rFonts w:hint="eastAsia" w:asciiTheme="majorEastAsia" w:hAnsiTheme="majorEastAsia" w:eastAsiaTheme="majorEastAsia" w:cstheme="majorEastAsia"/>
          <w:sz w:val="24"/>
        </w:rPr>
        <w:t>方案；</w:t>
      </w:r>
    </w:p>
    <w:p>
      <w:pPr>
        <w:numPr>
          <w:ilvl w:val="0"/>
          <w:numId w:val="0"/>
        </w:numPr>
        <w:tabs>
          <w:tab w:val="left" w:pos="482"/>
        </w:tabs>
        <w:spacing w:line="360" w:lineRule="auto"/>
        <w:ind w:left="480" w:leftChars="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lang w:val="en-US" w:eastAsia="zh-CN"/>
        </w:rPr>
        <w:t>八</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lang w:val="en-US" w:eastAsia="zh-CN"/>
        </w:rPr>
        <w:t>2021年度土建维护技术规范书</w:t>
      </w:r>
      <w:r>
        <w:rPr>
          <w:rFonts w:hint="eastAsia" w:asciiTheme="majorEastAsia" w:hAnsiTheme="majorEastAsia" w:eastAsiaTheme="majorEastAsia" w:cstheme="majorEastAsia"/>
          <w:sz w:val="24"/>
        </w:rPr>
        <w:t>；</w:t>
      </w:r>
    </w:p>
    <w:p>
      <w:pPr>
        <w:numPr>
          <w:ilvl w:val="0"/>
          <w:numId w:val="0"/>
        </w:numPr>
        <w:tabs>
          <w:tab w:val="left" w:pos="482"/>
        </w:tabs>
        <w:spacing w:line="360" w:lineRule="auto"/>
      </w:pPr>
      <w:r>
        <w:rPr>
          <w:rFonts w:hint="eastAsia" w:ascii="仿宋_GB2312" w:eastAsia="仿宋_GB2312"/>
          <w:bCs/>
          <w:sz w:val="21"/>
          <w:szCs w:val="21"/>
        </w:rPr>
        <w:br w:type="page"/>
      </w:r>
      <w:r>
        <w:rPr>
          <w:rFonts w:hint="eastAsia"/>
        </w:rPr>
        <w:t>比选申请文件封面</w:t>
      </w:r>
    </w:p>
    <w:p>
      <w:pPr>
        <w:spacing w:line="360" w:lineRule="auto"/>
      </w:pPr>
    </w:p>
    <w:p>
      <w:pPr>
        <w:spacing w:line="360" w:lineRule="auto"/>
        <w:jc w:val="right"/>
        <w:rPr>
          <w:sz w:val="28"/>
          <w:szCs w:val="28"/>
        </w:rPr>
      </w:pPr>
      <w:r>
        <w:rPr>
          <w:rFonts w:hint="eastAsia"/>
          <w:sz w:val="28"/>
          <w:szCs w:val="28"/>
        </w:rPr>
        <w:t>正本</w:t>
      </w:r>
    </w:p>
    <w:p>
      <w:pPr>
        <w:spacing w:line="360" w:lineRule="auto"/>
        <w:rPr>
          <w:sz w:val="28"/>
          <w:szCs w:val="28"/>
          <w:lang w:val="en-US"/>
        </w:rPr>
      </w:pPr>
      <w:r>
        <w:rPr>
          <w:rFonts w:hint="eastAsia"/>
          <w:sz w:val="28"/>
          <w:szCs w:val="28"/>
        </w:rPr>
        <w:t xml:space="preserve">  致：</w:t>
      </w:r>
      <w:r>
        <w:rPr>
          <w:rFonts w:hint="eastAsia"/>
          <w:sz w:val="28"/>
          <w:szCs w:val="28"/>
          <w:lang w:val="en-US" w:eastAsia="zh-CN"/>
        </w:rPr>
        <w:t>四川川投燃气发电有限责任公司</w:t>
      </w:r>
    </w:p>
    <w:p>
      <w:pPr>
        <w:spacing w:line="360" w:lineRule="auto"/>
        <w:jc w:val="center"/>
        <w:rPr>
          <w:sz w:val="28"/>
          <w:szCs w:val="28"/>
          <w:u w:val="single"/>
        </w:rPr>
      </w:pPr>
    </w:p>
    <w:p>
      <w:pPr>
        <w:spacing w:line="360" w:lineRule="auto"/>
        <w:ind w:firstLine="1400" w:firstLineChars="500"/>
        <w:rPr>
          <w:sz w:val="28"/>
          <w:szCs w:val="28"/>
          <w:u w:val="single"/>
        </w:rPr>
      </w:pPr>
      <w:r>
        <w:rPr>
          <w:rFonts w:hint="eastAsia"/>
          <w:sz w:val="28"/>
          <w:szCs w:val="28"/>
          <w:u w:val="single"/>
          <w:lang w:val="en-US" w:eastAsia="zh-CN"/>
        </w:rPr>
        <w:t>2021年度土建维护项目</w:t>
      </w:r>
      <w:r>
        <w:rPr>
          <w:rFonts w:hint="eastAsia"/>
          <w:sz w:val="28"/>
          <w:szCs w:val="28"/>
          <w:u w:val="single"/>
        </w:rPr>
        <w:t>（项目名称</w:t>
      </w:r>
      <w:r>
        <w:rPr>
          <w:rFonts w:hint="eastAsia"/>
          <w:sz w:val="28"/>
          <w:szCs w:val="28"/>
          <w:u w:val="single"/>
          <w:lang w:eastAsia="zh-CN"/>
        </w:rPr>
        <w:t>）</w:t>
      </w:r>
    </w:p>
    <w:p>
      <w:pPr>
        <w:spacing w:line="360" w:lineRule="auto"/>
        <w:rPr>
          <w:szCs w:val="21"/>
          <w:u w:val="single"/>
        </w:rPr>
      </w:pPr>
    </w:p>
    <w:p>
      <w:pPr>
        <w:spacing w:line="360" w:lineRule="auto"/>
        <w:rPr>
          <w:sz w:val="28"/>
          <w:szCs w:val="28"/>
        </w:rPr>
      </w:pPr>
    </w:p>
    <w:p>
      <w:pPr>
        <w:spacing w:line="360" w:lineRule="auto"/>
        <w:jc w:val="center"/>
        <w:rPr>
          <w:b/>
          <w:sz w:val="48"/>
          <w:szCs w:val="48"/>
        </w:rPr>
      </w:pPr>
      <w:r>
        <w:rPr>
          <w:rFonts w:hint="eastAsia"/>
          <w:b/>
          <w:sz w:val="48"/>
          <w:szCs w:val="48"/>
        </w:rPr>
        <w:t>比</w:t>
      </w:r>
    </w:p>
    <w:p>
      <w:pPr>
        <w:spacing w:line="360" w:lineRule="auto"/>
        <w:jc w:val="center"/>
        <w:rPr>
          <w:b/>
          <w:sz w:val="48"/>
          <w:szCs w:val="48"/>
        </w:rPr>
      </w:pPr>
      <w:r>
        <w:rPr>
          <w:rFonts w:hint="eastAsia"/>
          <w:b/>
          <w:sz w:val="48"/>
          <w:szCs w:val="48"/>
        </w:rPr>
        <w:t>选</w:t>
      </w:r>
    </w:p>
    <w:p>
      <w:pPr>
        <w:spacing w:line="360" w:lineRule="auto"/>
        <w:jc w:val="center"/>
        <w:rPr>
          <w:b/>
          <w:sz w:val="48"/>
          <w:szCs w:val="48"/>
        </w:rPr>
      </w:pPr>
      <w:r>
        <w:rPr>
          <w:rFonts w:hint="eastAsia"/>
          <w:b/>
          <w:sz w:val="48"/>
          <w:szCs w:val="48"/>
        </w:rPr>
        <w:t>申</w:t>
      </w:r>
    </w:p>
    <w:p>
      <w:pPr>
        <w:spacing w:line="360" w:lineRule="auto"/>
        <w:jc w:val="center"/>
        <w:rPr>
          <w:b/>
          <w:sz w:val="48"/>
          <w:szCs w:val="48"/>
        </w:rPr>
      </w:pPr>
      <w:r>
        <w:rPr>
          <w:rFonts w:hint="eastAsia"/>
          <w:b/>
          <w:sz w:val="48"/>
          <w:szCs w:val="48"/>
        </w:rPr>
        <w:t>请</w:t>
      </w:r>
    </w:p>
    <w:p>
      <w:pPr>
        <w:spacing w:line="360" w:lineRule="auto"/>
        <w:jc w:val="center"/>
        <w:rPr>
          <w:b/>
          <w:sz w:val="48"/>
          <w:szCs w:val="48"/>
        </w:rPr>
      </w:pPr>
      <w:r>
        <w:rPr>
          <w:rFonts w:hint="eastAsia"/>
          <w:b/>
          <w:sz w:val="48"/>
          <w:szCs w:val="48"/>
        </w:rPr>
        <w:t>文</w:t>
      </w:r>
    </w:p>
    <w:p>
      <w:pPr>
        <w:spacing w:line="360" w:lineRule="auto"/>
        <w:jc w:val="center"/>
        <w:rPr>
          <w:b/>
          <w:sz w:val="48"/>
          <w:szCs w:val="48"/>
        </w:rPr>
      </w:pPr>
      <w:r>
        <w:rPr>
          <w:rFonts w:hint="eastAsia"/>
          <w:b/>
          <w:sz w:val="48"/>
          <w:szCs w:val="48"/>
        </w:rPr>
        <w:t>件</w:t>
      </w:r>
    </w:p>
    <w:p>
      <w:pPr>
        <w:spacing w:line="360" w:lineRule="auto"/>
        <w:rPr>
          <w:sz w:val="28"/>
          <w:szCs w:val="28"/>
        </w:rPr>
      </w:pPr>
    </w:p>
    <w:p>
      <w:pPr>
        <w:spacing w:line="360" w:lineRule="auto"/>
        <w:rPr>
          <w:sz w:val="28"/>
          <w:szCs w:val="28"/>
        </w:rPr>
      </w:pPr>
    </w:p>
    <w:p>
      <w:pPr>
        <w:spacing w:line="360" w:lineRule="auto"/>
        <w:jc w:val="center"/>
        <w:rPr>
          <w:sz w:val="28"/>
          <w:szCs w:val="28"/>
          <w:u w:val="single"/>
        </w:rPr>
      </w:pPr>
      <w:r>
        <w:rPr>
          <w:rFonts w:hint="eastAsia"/>
          <w:sz w:val="28"/>
          <w:szCs w:val="28"/>
          <w:u w:val="none"/>
        </w:rPr>
        <w:t xml:space="preserve">   </w:t>
      </w:r>
      <w:r>
        <w:rPr>
          <w:rFonts w:hint="eastAsia"/>
          <w:sz w:val="28"/>
          <w:szCs w:val="28"/>
          <w:u w:val="single"/>
        </w:rPr>
        <w:t>（中介机构全称并加盖企业法人公章）</w:t>
      </w:r>
      <w:r>
        <w:rPr>
          <w:rFonts w:hint="eastAsia"/>
          <w:sz w:val="28"/>
          <w:szCs w:val="28"/>
          <w:u w:val="none"/>
        </w:rPr>
        <w:t xml:space="preserve">   </w:t>
      </w:r>
    </w:p>
    <w:p>
      <w:pPr>
        <w:spacing w:line="360" w:lineRule="auto"/>
        <w:jc w:val="center"/>
        <w:rPr>
          <w:sz w:val="28"/>
          <w:szCs w:val="28"/>
          <w:u w:val="single"/>
        </w:rPr>
      </w:pPr>
    </w:p>
    <w:p>
      <w:pPr>
        <w:spacing w:line="360" w:lineRule="auto"/>
        <w:jc w:val="center"/>
        <w:rPr>
          <w:sz w:val="28"/>
          <w:szCs w:val="28"/>
          <w:u w:val="none"/>
        </w:rPr>
      </w:pPr>
      <w:r>
        <w:rPr>
          <w:rFonts w:hint="eastAsia"/>
          <w:sz w:val="28"/>
          <w:szCs w:val="28"/>
          <w:u w:val="none"/>
        </w:rPr>
        <w:t xml:space="preserve">     年    月    日</w:t>
      </w:r>
    </w:p>
    <w:p>
      <w:pPr>
        <w:pStyle w:val="4"/>
      </w:pPr>
      <w:r>
        <w:br w:type="page"/>
      </w:r>
      <w:bookmarkStart w:id="58" w:name="_Toc22514"/>
      <w:r>
        <w:rPr>
          <w:rFonts w:hint="eastAsia"/>
        </w:rPr>
        <w:t>比选报价书</w:t>
      </w:r>
      <w:bookmarkEnd w:id="0"/>
      <w:bookmarkEnd w:id="1"/>
      <w:bookmarkEnd w:id="2"/>
      <w:bookmarkEnd w:id="3"/>
      <w:bookmarkEnd w:id="58"/>
    </w:p>
    <w:p>
      <w:pPr>
        <w:pStyle w:val="30"/>
        <w:spacing w:after="156" w:line="400" w:lineRule="exact"/>
      </w:pPr>
      <w:r>
        <w:rPr>
          <w:rFonts w:hint="eastAsia"/>
        </w:rPr>
        <w:t>比选报价书（格式）</w:t>
      </w:r>
    </w:p>
    <w:p>
      <w:pPr>
        <w:spacing w:line="400" w:lineRule="exact"/>
        <w:rPr>
          <w:rFonts w:hint="eastAsia" w:asciiTheme="majorEastAsia" w:hAnsiTheme="majorEastAsia" w:eastAsiaTheme="majorEastAsia" w:cstheme="majorEastAsia"/>
          <w:bCs/>
          <w:sz w:val="24"/>
          <w:u w:val="single"/>
        </w:rPr>
      </w:pPr>
      <w:r>
        <w:rPr>
          <w:rFonts w:hint="eastAsia" w:asciiTheme="majorEastAsia" w:hAnsiTheme="majorEastAsia" w:eastAsiaTheme="majorEastAsia" w:cstheme="majorEastAsia"/>
          <w:bCs/>
          <w:sz w:val="24"/>
        </w:rPr>
        <w:t>致：四川</w:t>
      </w:r>
      <w:r>
        <w:rPr>
          <w:rFonts w:hint="eastAsia" w:asciiTheme="majorEastAsia" w:hAnsiTheme="majorEastAsia" w:eastAsiaTheme="majorEastAsia" w:cstheme="majorEastAsia"/>
          <w:bCs/>
          <w:sz w:val="24"/>
          <w:lang w:val="en-US" w:eastAsia="zh-CN"/>
        </w:rPr>
        <w:t>川投燃气发电</w:t>
      </w:r>
      <w:r>
        <w:rPr>
          <w:rFonts w:hint="eastAsia" w:asciiTheme="majorEastAsia" w:hAnsiTheme="majorEastAsia" w:eastAsiaTheme="majorEastAsia" w:cstheme="majorEastAsia"/>
          <w:bCs/>
          <w:sz w:val="24"/>
        </w:rPr>
        <w:t>有限责任公司</w:t>
      </w:r>
    </w:p>
    <w:p>
      <w:pPr>
        <w:adjustRightInd w:val="0"/>
        <w:snapToGrid w:val="0"/>
        <w:spacing w:line="348" w:lineRule="auto"/>
        <w:ind w:firstLine="480" w:firstLineChars="200"/>
        <w:rPr>
          <w:rFonts w:hint="eastAsia" w:ascii="宋体" w:hAnsi="宋体"/>
          <w:sz w:val="24"/>
        </w:rPr>
      </w:pPr>
      <w:r>
        <w:rPr>
          <w:rFonts w:hint="eastAsia" w:asciiTheme="majorEastAsia" w:hAnsiTheme="majorEastAsia" w:eastAsiaTheme="majorEastAsia" w:cstheme="majorEastAsia"/>
          <w:bCs/>
          <w:kern w:val="2"/>
          <w:sz w:val="24"/>
          <w:szCs w:val="24"/>
          <w:lang w:val="en-US" w:eastAsia="zh-CN" w:bidi="ar-SA"/>
        </w:rPr>
        <w:t>1.我方已仔细研究了</w:t>
      </w:r>
      <w:r>
        <w:rPr>
          <w:rFonts w:hint="eastAsia" w:asciiTheme="majorEastAsia" w:hAnsiTheme="majorEastAsia" w:eastAsiaTheme="majorEastAsia" w:cstheme="majorEastAsia"/>
          <w:bCs/>
          <w:kern w:val="2"/>
          <w:sz w:val="24"/>
          <w:szCs w:val="24"/>
          <w:u w:val="single"/>
          <w:lang w:val="en-US" w:eastAsia="zh-CN" w:bidi="ar-SA"/>
        </w:rPr>
        <w:t>2021年度土建项目维护</w:t>
      </w:r>
      <w:r>
        <w:rPr>
          <w:rFonts w:hint="eastAsia" w:asciiTheme="majorEastAsia" w:hAnsiTheme="majorEastAsia" w:eastAsiaTheme="majorEastAsia" w:cstheme="majorEastAsia"/>
          <w:bCs/>
          <w:kern w:val="2"/>
          <w:sz w:val="24"/>
          <w:szCs w:val="24"/>
          <w:lang w:val="en-US" w:eastAsia="zh-CN" w:bidi="ar-SA"/>
        </w:rPr>
        <w:t>比选文件（包括补充通知）的全部内容，我方愿意承担风险</w:t>
      </w:r>
      <w:r>
        <w:rPr>
          <w:rFonts w:hint="eastAsia" w:ascii="宋体" w:hAnsi="宋体"/>
          <w:sz w:val="24"/>
        </w:rPr>
        <w:t>愿意以以下报价：</w:t>
      </w:r>
    </w:p>
    <w:p>
      <w:pPr>
        <w:adjustRightInd w:val="0"/>
        <w:snapToGrid w:val="0"/>
        <w:spacing w:line="348"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下浮费率部分，下浮</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（大写：百分之：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p>
    <w:p>
      <w:pPr>
        <w:adjustRightInd w:val="0"/>
        <w:snapToGrid w:val="0"/>
        <w:spacing w:line="348"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普工：</w:t>
      </w:r>
      <w:r>
        <w:rPr>
          <w:rFonts w:hint="eastAsia" w:ascii="宋体" w:hAnsi="宋体"/>
          <w:sz w:val="24"/>
          <w:u w:val="single"/>
        </w:rPr>
        <w:t xml:space="preserve">   元/工日（大写：  元/工日）</w:t>
      </w:r>
      <w:r>
        <w:rPr>
          <w:rFonts w:hint="eastAsia" w:ascii="宋体" w:hAnsi="宋体"/>
          <w:sz w:val="24"/>
        </w:rPr>
        <w:t>，技工：</w:t>
      </w:r>
      <w:r>
        <w:rPr>
          <w:rFonts w:hint="eastAsia" w:ascii="宋体" w:hAnsi="宋体"/>
          <w:sz w:val="24"/>
          <w:u w:val="single"/>
        </w:rPr>
        <w:t xml:space="preserve">    元/工日（大写：  元/工日）</w:t>
      </w:r>
      <w:r>
        <w:rPr>
          <w:rFonts w:hint="eastAsia" w:ascii="宋体" w:hAnsi="宋体"/>
          <w:sz w:val="24"/>
        </w:rPr>
        <w:t>。</w:t>
      </w:r>
    </w:p>
    <w:p>
      <w:pPr>
        <w:adjustRightInd w:val="0"/>
        <w:snapToGrid w:val="0"/>
        <w:spacing w:line="348"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以上报价所含增值税税率</w:t>
      </w:r>
      <w:r>
        <w:rPr>
          <w:rFonts w:hint="eastAsia" w:ascii="宋体" w:hAnsi="宋体"/>
          <w:sz w:val="24"/>
          <w:u w:val="single"/>
        </w:rPr>
        <w:t xml:space="preserve">      </w:t>
      </w:r>
      <w:r>
        <w:rPr>
          <w:rFonts w:hint="eastAsia" w:ascii="宋体" w:hAnsi="宋体"/>
          <w:sz w:val="24"/>
        </w:rPr>
        <w:t>%，提供增值税专用发票。</w:t>
      </w:r>
    </w:p>
    <w:p>
      <w:pPr>
        <w:adjustRightInd w:val="0"/>
        <w:snapToGrid w:val="0"/>
        <w:spacing w:line="348" w:lineRule="auto"/>
        <w:ind w:firstLine="480" w:firstLineChars="200"/>
        <w:rPr>
          <w:rFonts w:hint="eastAsia" w:asciiTheme="majorEastAsia" w:hAnsiTheme="majorEastAsia" w:eastAsiaTheme="majorEastAsia" w:cstheme="majorEastAsia"/>
          <w:bCs/>
          <w:sz w:val="24"/>
          <w:szCs w:val="24"/>
        </w:rPr>
      </w:pPr>
      <w:r>
        <w:rPr>
          <w:rFonts w:hint="eastAsia" w:ascii="宋体" w:hAnsi="宋体"/>
          <w:sz w:val="24"/>
          <w:lang w:val="en-US" w:eastAsia="zh-CN"/>
        </w:rPr>
        <w:t>5.</w:t>
      </w:r>
      <w:r>
        <w:rPr>
          <w:rFonts w:hint="eastAsia" w:ascii="宋体" w:hAnsi="宋体"/>
          <w:sz w:val="24"/>
        </w:rPr>
        <w:t>按合同约定实施和完成该项目承包内容，修补工程中的任何缺陷。工程质量达到国家现行建设工程质量验收规范合格标准。</w:t>
      </w:r>
      <w:r>
        <w:rPr>
          <w:rFonts w:hint="eastAsia" w:asciiTheme="majorEastAsia" w:hAnsiTheme="majorEastAsia" w:eastAsiaTheme="majorEastAsia" w:cstheme="majorEastAsia"/>
          <w:bCs/>
          <w:sz w:val="24"/>
          <w:szCs w:val="24"/>
        </w:rPr>
        <w:t>按比选文件的要求完成规定的全部工作内容，并承担相关责任。</w:t>
      </w:r>
    </w:p>
    <w:p>
      <w:pPr>
        <w:spacing w:line="400" w:lineRule="exact"/>
        <w:ind w:firstLine="42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lang w:val="en-US" w:eastAsia="zh-CN"/>
        </w:rPr>
        <w:t>6.</w:t>
      </w:r>
      <w:r>
        <w:rPr>
          <w:rFonts w:hint="eastAsia" w:asciiTheme="majorEastAsia" w:hAnsiTheme="majorEastAsia" w:eastAsiaTheme="majorEastAsia" w:cstheme="majorEastAsia"/>
          <w:bCs/>
          <w:sz w:val="24"/>
        </w:rPr>
        <w:t>我方提交的比选申请文件在比选截止时间后的90天及其延长期（如果有）内有效，在此期间内被你方接受的比选申请文件对我方具有约束力。我方保证在比选申请有效期内不撤回比选申请文件。</w:t>
      </w:r>
    </w:p>
    <w:p>
      <w:pPr>
        <w:spacing w:line="400" w:lineRule="exact"/>
        <w:ind w:firstLine="42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lang w:val="en-US" w:eastAsia="zh-CN"/>
        </w:rPr>
        <w:t>7.</w:t>
      </w:r>
      <w:r>
        <w:rPr>
          <w:rFonts w:hint="eastAsia" w:asciiTheme="majorEastAsia" w:hAnsiTheme="majorEastAsia" w:eastAsiaTheme="majorEastAsia" w:cstheme="majorEastAsia"/>
          <w:bCs/>
          <w:sz w:val="24"/>
        </w:rPr>
        <w:t>若我方成为合同谈判候选人：</w:t>
      </w:r>
    </w:p>
    <w:p>
      <w:pPr>
        <w:spacing w:line="400" w:lineRule="exact"/>
        <w:ind w:firstLine="42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（1）我方保证在收到你方的通知书后，按比选文件规定的期限，及时派代表前去进行合同谈判。</w:t>
      </w:r>
    </w:p>
    <w:p>
      <w:pPr>
        <w:spacing w:line="400" w:lineRule="exact"/>
        <w:ind w:firstLine="42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（2）我方保证在合同规定的期限内完成合同规定的全部工作。</w:t>
      </w:r>
    </w:p>
    <w:p>
      <w:pPr>
        <w:spacing w:line="400" w:lineRule="exact"/>
        <w:ind w:firstLine="42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lang w:val="en-US" w:eastAsia="zh-CN"/>
        </w:rPr>
        <w:t>8.</w:t>
      </w:r>
      <w:r>
        <w:rPr>
          <w:rFonts w:hint="eastAsia" w:asciiTheme="majorEastAsia" w:hAnsiTheme="majorEastAsia" w:eastAsiaTheme="majorEastAsia" w:cstheme="majorEastAsia"/>
          <w:bCs/>
          <w:sz w:val="24"/>
        </w:rPr>
        <w:t>我方完全理解你方不保证比选报价最低的比选申请人中选。</w:t>
      </w:r>
    </w:p>
    <w:p>
      <w:pPr>
        <w:spacing w:line="400" w:lineRule="exact"/>
        <w:ind w:firstLine="42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lang w:val="en-US" w:eastAsia="zh-CN"/>
        </w:rPr>
        <w:t>9.</w:t>
      </w:r>
      <w:r>
        <w:rPr>
          <w:rFonts w:hint="eastAsia" w:asciiTheme="majorEastAsia" w:hAnsiTheme="majorEastAsia" w:eastAsiaTheme="majorEastAsia" w:cstheme="majorEastAsia"/>
          <w:bCs/>
          <w:sz w:val="24"/>
        </w:rPr>
        <w:t>我方保证将按比选文件的规定履行责任和义务。</w:t>
      </w:r>
    </w:p>
    <w:p>
      <w:pPr>
        <w:spacing w:line="400" w:lineRule="exact"/>
        <w:ind w:firstLine="42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lang w:val="en-US" w:eastAsia="zh-CN"/>
        </w:rPr>
        <w:t>10.</w:t>
      </w:r>
      <w:r>
        <w:rPr>
          <w:rFonts w:hint="eastAsia" w:asciiTheme="majorEastAsia" w:hAnsiTheme="majorEastAsia" w:eastAsiaTheme="majorEastAsia" w:cstheme="majorEastAsia"/>
          <w:bCs/>
          <w:sz w:val="24"/>
        </w:rPr>
        <w:t xml:space="preserve">所有与本比选申请文件有关的正式通信请函送：           </w:t>
      </w:r>
    </w:p>
    <w:p>
      <w:pPr>
        <w:pStyle w:val="2"/>
        <w:rPr>
          <w:rFonts w:hint="eastAsia"/>
        </w:rPr>
      </w:pPr>
    </w:p>
    <w:p>
      <w:pPr>
        <w:spacing w:line="400" w:lineRule="exact"/>
        <w:ind w:firstLine="3780" w:firstLineChars="1575"/>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收 件 人：</w:t>
      </w:r>
      <w:r>
        <w:rPr>
          <w:rFonts w:hint="eastAsia" w:asciiTheme="majorEastAsia" w:hAnsiTheme="majorEastAsia" w:eastAsiaTheme="majorEastAsia" w:cstheme="majorEastAsia"/>
          <w:bCs/>
          <w:sz w:val="24"/>
          <w:u w:val="single"/>
        </w:rPr>
        <w:t xml:space="preserve">                           </w:t>
      </w:r>
    </w:p>
    <w:p>
      <w:pPr>
        <w:spacing w:line="400" w:lineRule="exact"/>
        <w:ind w:firstLine="42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                            电    话：</w:t>
      </w:r>
      <w:r>
        <w:rPr>
          <w:rFonts w:hint="eastAsia" w:asciiTheme="majorEastAsia" w:hAnsiTheme="majorEastAsia" w:eastAsiaTheme="majorEastAsia" w:cstheme="majorEastAsia"/>
          <w:bCs/>
          <w:sz w:val="24"/>
          <w:u w:val="single"/>
        </w:rPr>
        <w:t xml:space="preserve">                           </w:t>
      </w:r>
      <w:r>
        <w:rPr>
          <w:rFonts w:hint="eastAsia" w:asciiTheme="majorEastAsia" w:hAnsiTheme="majorEastAsia" w:eastAsiaTheme="majorEastAsia" w:cstheme="majorEastAsia"/>
          <w:bCs/>
          <w:sz w:val="24"/>
        </w:rPr>
        <w:t xml:space="preserve"> </w:t>
      </w:r>
    </w:p>
    <w:p>
      <w:pPr>
        <w:spacing w:line="400" w:lineRule="exact"/>
        <w:ind w:firstLine="42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                                                       </w:t>
      </w:r>
      <w:r>
        <w:rPr>
          <w:rFonts w:hint="eastAsia" w:asciiTheme="majorEastAsia" w:hAnsiTheme="majorEastAsia" w:eastAsiaTheme="majorEastAsia" w:cstheme="majorEastAsia"/>
          <w:sz w:val="24"/>
        </w:rPr>
        <w:t xml:space="preserve">                                         </w:t>
      </w:r>
    </w:p>
    <w:p>
      <w:pPr>
        <w:spacing w:line="400" w:lineRule="exact"/>
        <w:ind w:firstLine="3600" w:firstLineChars="1500"/>
        <w:rPr>
          <w:rFonts w:hint="eastAsia" w:asciiTheme="majorEastAsia" w:hAnsiTheme="majorEastAsia" w:eastAsiaTheme="majorEastAsia" w:cstheme="majorEastAsia"/>
          <w:bCs/>
          <w:sz w:val="24"/>
          <w:u w:val="single"/>
        </w:rPr>
      </w:pPr>
      <w:r>
        <w:rPr>
          <w:rFonts w:hint="eastAsia" w:asciiTheme="majorEastAsia" w:hAnsiTheme="majorEastAsia" w:eastAsiaTheme="majorEastAsia" w:cstheme="majorEastAsia"/>
          <w:bCs/>
          <w:sz w:val="24"/>
        </w:rPr>
        <w:t>比选申请人：</w:t>
      </w:r>
      <w:r>
        <w:rPr>
          <w:rFonts w:hint="eastAsia" w:asciiTheme="majorEastAsia" w:hAnsiTheme="majorEastAsia" w:eastAsiaTheme="majorEastAsia" w:cstheme="majorEastAsia"/>
          <w:bCs/>
          <w:sz w:val="24"/>
          <w:u w:val="single"/>
        </w:rPr>
        <w:t xml:space="preserve">           （公章）        </w:t>
      </w:r>
    </w:p>
    <w:p>
      <w:pPr>
        <w:widowControl/>
        <w:spacing w:line="400" w:lineRule="exact"/>
        <w:ind w:firstLine="42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                                                 </w:t>
      </w:r>
    </w:p>
    <w:p>
      <w:pPr>
        <w:spacing w:line="400" w:lineRule="exact"/>
        <w:ind w:firstLine="42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           法定代表人（或委托代理人）：</w:t>
      </w:r>
      <w:r>
        <w:rPr>
          <w:rFonts w:hint="eastAsia" w:asciiTheme="majorEastAsia" w:hAnsiTheme="majorEastAsia" w:eastAsiaTheme="majorEastAsia" w:cstheme="majorEastAsia"/>
          <w:bCs/>
          <w:sz w:val="24"/>
          <w:u w:val="single"/>
        </w:rPr>
        <w:t xml:space="preserve">            （签名）        </w:t>
      </w:r>
    </w:p>
    <w:p>
      <w:pPr>
        <w:spacing w:line="400" w:lineRule="exact"/>
        <w:ind w:firstLine="42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                                                 </w:t>
      </w:r>
    </w:p>
    <w:p>
      <w:pPr>
        <w:spacing w:line="400" w:lineRule="exact"/>
        <w:ind w:firstLine="420"/>
        <w:rPr>
          <w:rFonts w:hint="eastAsia" w:asciiTheme="majorEastAsia" w:hAnsiTheme="majorEastAsia" w:eastAsiaTheme="majorEastAsia" w:cstheme="majorEastAsia"/>
          <w:bCs/>
          <w:sz w:val="24"/>
        </w:rPr>
      </w:pPr>
    </w:p>
    <w:p>
      <w:pPr>
        <w:spacing w:line="400" w:lineRule="exact"/>
        <w:ind w:left="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Cs/>
          <w:sz w:val="24"/>
        </w:rPr>
        <w:t xml:space="preserve">                                            </w:t>
      </w:r>
      <w:r>
        <w:rPr>
          <w:rFonts w:hint="eastAsia"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w:t>
      </w:r>
    </w:p>
    <w:p>
      <w:pPr>
        <w:widowControl/>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br w:type="page"/>
      </w:r>
    </w:p>
    <w:p>
      <w:pPr>
        <w:pStyle w:val="4"/>
      </w:pPr>
      <w:bookmarkStart w:id="59" w:name="_Toc44141195"/>
      <w:bookmarkStart w:id="60" w:name="_Toc16393653"/>
      <w:bookmarkStart w:id="61" w:name="_Toc17186213"/>
      <w:bookmarkStart w:id="62" w:name="_Toc109212585"/>
      <w:bookmarkStart w:id="63" w:name="_Toc3442"/>
      <w:r>
        <w:rPr>
          <w:rFonts w:hint="eastAsia"/>
        </w:rPr>
        <w:t>授权委托书</w:t>
      </w:r>
      <w:bookmarkEnd w:id="59"/>
      <w:bookmarkEnd w:id="60"/>
      <w:bookmarkEnd w:id="61"/>
      <w:bookmarkEnd w:id="62"/>
      <w:bookmarkEnd w:id="63"/>
    </w:p>
    <w:p>
      <w:pPr>
        <w:pStyle w:val="30"/>
        <w:spacing w:after="156" w:line="360" w:lineRule="auto"/>
      </w:pPr>
      <w:r>
        <w:rPr>
          <w:rFonts w:hint="eastAsia"/>
        </w:rPr>
        <w:t>授 权 委 托 书（格式）</w:t>
      </w:r>
    </w:p>
    <w:p>
      <w:pPr>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sz w:val="24"/>
        </w:rPr>
        <w:t>致：</w:t>
      </w:r>
      <w:r>
        <w:rPr>
          <w:rFonts w:hint="eastAsia" w:asciiTheme="majorEastAsia" w:hAnsiTheme="majorEastAsia" w:eastAsiaTheme="majorEastAsia" w:cstheme="majorEastAsia"/>
          <w:bCs/>
          <w:sz w:val="24"/>
        </w:rPr>
        <w:t>四川</w:t>
      </w:r>
      <w:r>
        <w:rPr>
          <w:rFonts w:hint="eastAsia" w:asciiTheme="majorEastAsia" w:hAnsiTheme="majorEastAsia" w:eastAsiaTheme="majorEastAsia" w:cstheme="majorEastAsia"/>
          <w:bCs/>
          <w:sz w:val="24"/>
          <w:lang w:val="en-US" w:eastAsia="zh-CN"/>
        </w:rPr>
        <w:t>川投燃气发电</w:t>
      </w:r>
      <w:r>
        <w:rPr>
          <w:rFonts w:hint="eastAsia" w:asciiTheme="majorEastAsia" w:hAnsiTheme="majorEastAsia" w:eastAsiaTheme="majorEastAsia" w:cstheme="majorEastAsia"/>
          <w:bCs/>
          <w:sz w:val="24"/>
        </w:rPr>
        <w:t>有限责任公司</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我，</w:t>
      </w:r>
      <w:r>
        <w:rPr>
          <w:rFonts w:hint="eastAsia" w:asciiTheme="majorEastAsia" w:hAnsiTheme="majorEastAsia" w:eastAsiaTheme="majorEastAsia" w:cstheme="majorEastAsia"/>
          <w:bCs/>
          <w:sz w:val="24"/>
          <w:u w:val="single"/>
        </w:rPr>
        <w:t xml:space="preserve">               </w:t>
      </w:r>
      <w:r>
        <w:rPr>
          <w:rFonts w:hint="eastAsia" w:asciiTheme="majorEastAsia" w:hAnsiTheme="majorEastAsia" w:eastAsiaTheme="majorEastAsia" w:cstheme="majorEastAsia"/>
          <w:bCs/>
          <w:sz w:val="24"/>
        </w:rPr>
        <w:t>(姓名)，作为</w:t>
      </w:r>
      <w:r>
        <w:rPr>
          <w:rFonts w:hint="eastAsia" w:asciiTheme="majorEastAsia" w:hAnsiTheme="majorEastAsia" w:eastAsiaTheme="majorEastAsia" w:cstheme="majorEastAsia"/>
          <w:bCs/>
          <w:kern w:val="2"/>
          <w:sz w:val="24"/>
          <w:szCs w:val="24"/>
          <w:u w:val="single"/>
          <w:lang w:val="en-US" w:eastAsia="zh-CN" w:bidi="ar-SA"/>
        </w:rPr>
        <w:t>22021年度土建项目维护</w:t>
      </w:r>
      <w:r>
        <w:rPr>
          <w:rFonts w:hint="eastAsia" w:asciiTheme="majorEastAsia" w:hAnsiTheme="majorEastAsia" w:eastAsiaTheme="majorEastAsia" w:cstheme="majorEastAsia"/>
          <w:bCs/>
          <w:sz w:val="24"/>
        </w:rPr>
        <w:t>的法定代表人（或负责人），兹授权</w:t>
      </w:r>
      <w:r>
        <w:rPr>
          <w:rFonts w:hint="eastAsia" w:asciiTheme="majorEastAsia" w:hAnsiTheme="majorEastAsia" w:eastAsiaTheme="majorEastAsia" w:cstheme="majorEastAsia"/>
          <w:bCs/>
          <w:sz w:val="24"/>
          <w:u w:val="single"/>
        </w:rPr>
        <w:t xml:space="preserve">       （委托代理人姓名、职务）     </w:t>
      </w:r>
      <w:r>
        <w:rPr>
          <w:rFonts w:hint="eastAsia" w:asciiTheme="majorEastAsia" w:hAnsiTheme="majorEastAsia" w:eastAsiaTheme="majorEastAsia" w:cstheme="majorEastAsia"/>
          <w:bCs/>
          <w:sz w:val="24"/>
        </w:rPr>
        <w:t>（居民身份证编号：</w:t>
      </w:r>
      <w:r>
        <w:rPr>
          <w:rFonts w:hint="eastAsia" w:asciiTheme="majorEastAsia" w:hAnsiTheme="majorEastAsia" w:eastAsiaTheme="majorEastAsia" w:cstheme="majorEastAsia"/>
          <w:bCs/>
          <w:sz w:val="24"/>
          <w:u w:val="single"/>
        </w:rPr>
        <w:t xml:space="preserve">                </w:t>
      </w:r>
      <w:r>
        <w:rPr>
          <w:rFonts w:hint="eastAsia" w:asciiTheme="majorEastAsia" w:hAnsiTheme="majorEastAsia" w:eastAsiaTheme="majorEastAsia" w:cstheme="majorEastAsia"/>
          <w:bCs/>
          <w:sz w:val="24"/>
        </w:rPr>
        <w:t>）为我单位的委托代理人，代表我单位就</w:t>
      </w:r>
      <w:r>
        <w:rPr>
          <w:rFonts w:hint="eastAsia" w:asciiTheme="majorEastAsia" w:hAnsiTheme="majorEastAsia" w:eastAsiaTheme="majorEastAsia" w:cstheme="majorEastAsia"/>
          <w:bCs/>
          <w:sz w:val="24"/>
          <w:u w:val="single"/>
        </w:rPr>
        <w:t xml:space="preserve">      （项目名称）       </w:t>
      </w:r>
      <w:r>
        <w:rPr>
          <w:rFonts w:hint="eastAsia" w:asciiTheme="majorEastAsia" w:hAnsiTheme="majorEastAsia" w:eastAsiaTheme="majorEastAsia" w:cstheme="majorEastAsia"/>
          <w:bCs/>
          <w:sz w:val="24"/>
        </w:rPr>
        <w:t>签署比选申请文件、进行谈判、签订合同和处理与之有关的一切事务，我及我单位均予以承认并全部承担其产生的所有权利和义务，特此授权。委托代理人不得转授权。</w:t>
      </w:r>
    </w:p>
    <w:p>
      <w:pPr>
        <w:spacing w:line="360" w:lineRule="auto"/>
        <w:ind w:firstLine="422"/>
        <w:rPr>
          <w:rFonts w:hint="eastAsia" w:asciiTheme="majorEastAsia" w:hAnsiTheme="majorEastAsia" w:eastAsiaTheme="majorEastAsia" w:cstheme="majorEastAsia"/>
          <w:bCs/>
          <w:sz w:val="24"/>
        </w:rPr>
      </w:pPr>
    </w:p>
    <w:p>
      <w:pPr>
        <w:spacing w:line="360" w:lineRule="auto"/>
        <w:ind w:firstLine="422"/>
        <w:rPr>
          <w:rFonts w:hint="eastAsia" w:asciiTheme="majorEastAsia" w:hAnsiTheme="majorEastAsia" w:eastAsiaTheme="majorEastAsia" w:cstheme="majorEastAsia"/>
          <w:bCs/>
          <w:sz w:val="24"/>
        </w:rPr>
      </w:pP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ab/>
      </w:r>
      <w:r>
        <w:rPr>
          <w:rFonts w:hint="eastAsia" w:asciiTheme="majorEastAsia" w:hAnsiTheme="majorEastAsia" w:eastAsiaTheme="majorEastAsia" w:cstheme="majorEastAsia"/>
          <w:bCs/>
          <w:sz w:val="24"/>
        </w:rPr>
        <w:t xml:space="preserve">                         比选申请人：</w:t>
      </w:r>
      <w:r>
        <w:rPr>
          <w:rFonts w:hint="eastAsia" w:asciiTheme="majorEastAsia" w:hAnsiTheme="majorEastAsia" w:eastAsiaTheme="majorEastAsia" w:cstheme="majorEastAsia"/>
          <w:bCs/>
          <w:sz w:val="24"/>
          <w:u w:val="single"/>
        </w:rPr>
        <w:t xml:space="preserve">           （公章）      </w:t>
      </w:r>
      <w:r>
        <w:rPr>
          <w:rFonts w:hint="eastAsia" w:asciiTheme="majorEastAsia" w:hAnsiTheme="majorEastAsia" w:eastAsiaTheme="majorEastAsia" w:cstheme="majorEastAsia"/>
          <w:bCs/>
          <w:sz w:val="24"/>
        </w:rPr>
        <w:t xml:space="preserve"> </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                                                       </w:t>
      </w:r>
    </w:p>
    <w:p>
      <w:pPr>
        <w:spacing w:line="360" w:lineRule="auto"/>
        <w:ind w:firstLine="422"/>
        <w:rPr>
          <w:rFonts w:hint="eastAsia" w:asciiTheme="majorEastAsia" w:hAnsiTheme="majorEastAsia" w:eastAsiaTheme="majorEastAsia" w:cstheme="majorEastAsia"/>
          <w:bCs/>
          <w:sz w:val="24"/>
          <w:u w:val="single"/>
        </w:rPr>
      </w:pPr>
      <w:r>
        <w:rPr>
          <w:rFonts w:hint="eastAsia" w:asciiTheme="majorEastAsia" w:hAnsiTheme="majorEastAsia" w:eastAsiaTheme="majorEastAsia" w:cstheme="majorEastAsia"/>
          <w:bCs/>
          <w:sz w:val="24"/>
        </w:rPr>
        <w:t xml:space="preserve">                  法定代表人（或负责人）：</w:t>
      </w:r>
      <w:r>
        <w:rPr>
          <w:rFonts w:hint="eastAsia" w:asciiTheme="majorEastAsia" w:hAnsiTheme="majorEastAsia" w:eastAsiaTheme="majorEastAsia" w:cstheme="majorEastAsia"/>
          <w:bCs/>
          <w:sz w:val="24"/>
          <w:u w:val="single"/>
        </w:rPr>
        <w:t xml:space="preserve">           （签名）     </w:t>
      </w:r>
    </w:p>
    <w:p>
      <w:pPr>
        <w:spacing w:line="360" w:lineRule="auto"/>
        <w:ind w:firstLine="422"/>
        <w:rPr>
          <w:rFonts w:hint="eastAsia" w:asciiTheme="majorEastAsia" w:hAnsiTheme="majorEastAsia" w:eastAsiaTheme="majorEastAsia" w:cstheme="majorEastAsia"/>
          <w:bCs/>
          <w:sz w:val="24"/>
          <w:u w:val="single"/>
        </w:rPr>
      </w:pPr>
      <w:r>
        <w:rPr>
          <w:rFonts w:hint="eastAsia" w:asciiTheme="majorEastAsia" w:hAnsiTheme="majorEastAsia" w:eastAsiaTheme="majorEastAsia" w:cstheme="majorEastAsia"/>
          <w:bCs/>
          <w:sz w:val="24"/>
        </w:rPr>
        <w:t xml:space="preserve">                                                                             </w:t>
      </w:r>
    </w:p>
    <w:p>
      <w:pPr>
        <w:spacing w:line="360" w:lineRule="auto"/>
        <w:ind w:left="481" w:leftChars="229" w:firstLine="3417" w:firstLineChars="1424"/>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Cs/>
          <w:sz w:val="24"/>
        </w:rPr>
        <w:t>委托代理人：</w:t>
      </w:r>
      <w:r>
        <w:rPr>
          <w:rFonts w:hint="eastAsia" w:asciiTheme="majorEastAsia" w:hAnsiTheme="majorEastAsia" w:eastAsiaTheme="majorEastAsia" w:cstheme="majorEastAsia"/>
          <w:bCs/>
          <w:sz w:val="24"/>
          <w:u w:val="single"/>
        </w:rPr>
        <w:t xml:space="preserve">            （签名）     </w:t>
      </w:r>
    </w:p>
    <w:p>
      <w:pPr>
        <w:spacing w:line="360" w:lineRule="auto"/>
        <w:ind w:firstLine="422"/>
        <w:rPr>
          <w:rFonts w:hint="eastAsia" w:asciiTheme="majorEastAsia" w:hAnsiTheme="majorEastAsia" w:eastAsiaTheme="majorEastAsia" w:cstheme="majorEastAsia"/>
          <w:bCs/>
          <w:sz w:val="24"/>
        </w:rPr>
      </w:pPr>
    </w:p>
    <w:p>
      <w:pPr>
        <w:spacing w:line="360" w:lineRule="auto"/>
        <w:ind w:left="481" w:leftChars="229" w:firstLine="3417" w:firstLineChars="1424"/>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日      期：</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w:t>
      </w:r>
    </w:p>
    <w:p>
      <w:pPr>
        <w:spacing w:line="360" w:lineRule="auto"/>
        <w:jc w:val="left"/>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附：授权人、委托代理人居民身份证复印件。</w:t>
      </w:r>
    </w:p>
    <w:tbl>
      <w:tblPr>
        <w:tblStyle w:val="27"/>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5"/>
        <w:gridCol w:w="133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13" w:hRule="atLeast"/>
        </w:trPr>
        <w:tc>
          <w:tcPr>
            <w:tcW w:w="3965" w:type="dxa"/>
            <w:vAlign w:val="center"/>
          </w:tcPr>
          <w:p>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授权人身份证复印件</w:t>
            </w:r>
          </w:p>
        </w:tc>
        <w:tc>
          <w:tcPr>
            <w:tcW w:w="1337" w:type="dxa"/>
            <w:tcBorders>
              <w:top w:val="nil"/>
              <w:bottom w:val="nil"/>
            </w:tcBorders>
          </w:tcPr>
          <w:p>
            <w:pPr>
              <w:spacing w:line="360" w:lineRule="auto"/>
              <w:jc w:val="center"/>
              <w:rPr>
                <w:rFonts w:hint="eastAsia" w:asciiTheme="majorEastAsia" w:hAnsiTheme="majorEastAsia" w:eastAsiaTheme="majorEastAsia" w:cstheme="majorEastAsia"/>
                <w:bCs/>
                <w:sz w:val="24"/>
              </w:rPr>
            </w:pPr>
          </w:p>
        </w:tc>
        <w:tc>
          <w:tcPr>
            <w:tcW w:w="3827" w:type="dxa"/>
            <w:vAlign w:val="center"/>
          </w:tcPr>
          <w:p>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委托代理人身份证复印件</w:t>
            </w:r>
          </w:p>
        </w:tc>
      </w:tr>
    </w:tbl>
    <w:p>
      <w:pPr>
        <w:spacing w:line="360" w:lineRule="auto"/>
        <w:rPr>
          <w:rFonts w:hint="eastAsia" w:asciiTheme="majorEastAsia" w:hAnsiTheme="majorEastAsia" w:eastAsiaTheme="majorEastAsia" w:cstheme="majorEastAsia"/>
          <w:b/>
        </w:rPr>
      </w:pPr>
    </w:p>
    <w:p>
      <w:pPr>
        <w:pStyle w:val="4"/>
      </w:pPr>
      <w:r>
        <w:br w:type="page"/>
      </w:r>
      <w:bookmarkStart w:id="64" w:name="_Toc28140"/>
      <w:bookmarkStart w:id="65" w:name="_Toc258853408"/>
      <w:r>
        <w:rPr>
          <w:rFonts w:hint="eastAsia"/>
        </w:rPr>
        <w:t>比选申请人承诺函</w:t>
      </w:r>
      <w:bookmarkEnd w:id="64"/>
      <w:bookmarkEnd w:id="65"/>
    </w:p>
    <w:p>
      <w:pPr>
        <w:pStyle w:val="30"/>
        <w:spacing w:after="156"/>
      </w:pPr>
      <w:r>
        <w:rPr>
          <w:rFonts w:hint="eastAsia"/>
        </w:rPr>
        <w:t>比　选　申　请　人　承　诺　函（格式）</w:t>
      </w:r>
    </w:p>
    <w:p>
      <w:pPr>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sz w:val="24"/>
        </w:rPr>
        <w:t>致：</w:t>
      </w:r>
      <w:r>
        <w:rPr>
          <w:rFonts w:hint="eastAsia" w:asciiTheme="majorEastAsia" w:hAnsiTheme="majorEastAsia" w:eastAsiaTheme="majorEastAsia" w:cstheme="majorEastAsia"/>
          <w:bCs/>
          <w:sz w:val="24"/>
        </w:rPr>
        <w:t>四川</w:t>
      </w:r>
      <w:r>
        <w:rPr>
          <w:rFonts w:hint="eastAsia" w:asciiTheme="majorEastAsia" w:hAnsiTheme="majorEastAsia" w:eastAsiaTheme="majorEastAsia" w:cstheme="majorEastAsia"/>
          <w:bCs/>
          <w:sz w:val="24"/>
          <w:lang w:val="en-US" w:eastAsia="zh-CN"/>
        </w:rPr>
        <w:t>川投燃气发电</w:t>
      </w:r>
      <w:r>
        <w:rPr>
          <w:rFonts w:hint="eastAsia" w:asciiTheme="majorEastAsia" w:hAnsiTheme="majorEastAsia" w:eastAsiaTheme="majorEastAsia" w:cstheme="majorEastAsia"/>
          <w:bCs/>
          <w:sz w:val="24"/>
        </w:rPr>
        <w:t>有限责任公司</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我公司自愿参加你公司组织的中介机构比选活动，作为比选申请人，我公司承诺如下：</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1、完全理解、同意并接受比选文件的一切规定和要求。</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2、我公司对比选申请文件所提供资料的真实性负责。如与事实不符或弄虚作假，我公司自愿承担一切责任。</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3、无论中选与否，因本次比选所发生的一切费用，由我公司自行承担。</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4、若中选，承诺本项目现场进场人员，与比选申请文件中承诺的拟投入本项目组现场人员名单一致。否则，比选人有权取消我方中选资格，我方承担由此给比选人造成的损失。</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5、若中选，本承诺函将成为合同不可分割的一部分，与合同具有同等的法律效力。</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6、无论我公司中选或者落选，均保证不向任何第三方泄露本次选聘的相关信息，不向任何第三方披露获得的或收到的任何文件资料及非公开信息。</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7、我公司参与本次选聘，保证不存在以下情形：</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（1）提供虚假材料谋取中选；</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（2）采取不正当手段诋毁、排挤其他比选申请人；</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（3）与其它比选申请人恶意串通；</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（4）向比选人行贿或者提供其他不正当利益；</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（5）拒绝有关部门监督检查或提供虚假情况；</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（6）有其他违规行为。</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8、我公司截止比选公告日未在相关处罚期内。</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9、我公司近三年提供的</w:t>
      </w:r>
      <w:r>
        <w:rPr>
          <w:rFonts w:hint="eastAsia" w:asciiTheme="majorEastAsia" w:hAnsiTheme="majorEastAsia" w:eastAsiaTheme="majorEastAsia" w:cstheme="majorEastAsia"/>
          <w:bCs/>
          <w:sz w:val="24"/>
          <w:lang w:val="en-US" w:eastAsia="zh-CN"/>
        </w:rPr>
        <w:t>维护服务工作</w:t>
      </w:r>
      <w:r>
        <w:rPr>
          <w:rFonts w:hint="eastAsia" w:asciiTheme="majorEastAsia" w:hAnsiTheme="majorEastAsia" w:eastAsiaTheme="majorEastAsia" w:cstheme="majorEastAsia"/>
          <w:bCs/>
          <w:sz w:val="24"/>
        </w:rPr>
        <w:t>未因重大执业质量等问题受到</w:t>
      </w:r>
      <w:r>
        <w:rPr>
          <w:rFonts w:hint="eastAsia" w:asciiTheme="majorEastAsia" w:hAnsiTheme="majorEastAsia" w:eastAsiaTheme="majorEastAsia" w:cstheme="majorEastAsia"/>
          <w:bCs/>
          <w:sz w:val="24"/>
          <w:lang w:val="en-US" w:eastAsia="zh-CN"/>
        </w:rPr>
        <w:t>政府机关单位</w:t>
      </w:r>
      <w:r>
        <w:rPr>
          <w:rFonts w:hint="eastAsia" w:asciiTheme="majorEastAsia" w:hAnsiTheme="majorEastAsia" w:eastAsiaTheme="majorEastAsia" w:cstheme="majorEastAsia"/>
          <w:bCs/>
          <w:sz w:val="24"/>
        </w:rPr>
        <w:t>通报。</w:t>
      </w:r>
    </w:p>
    <w:p>
      <w:pPr>
        <w:spacing w:line="360" w:lineRule="auto"/>
        <w:ind w:firstLine="3900" w:firstLineChars="1625"/>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比选申请人：</w:t>
      </w:r>
      <w:r>
        <w:rPr>
          <w:rFonts w:hint="eastAsia" w:asciiTheme="majorEastAsia" w:hAnsiTheme="majorEastAsia" w:eastAsiaTheme="majorEastAsia" w:cstheme="majorEastAsia"/>
          <w:bCs/>
          <w:sz w:val="24"/>
          <w:u w:val="single"/>
        </w:rPr>
        <w:t xml:space="preserve">           </w:t>
      </w:r>
      <w:r>
        <w:rPr>
          <w:rFonts w:hint="eastAsia" w:asciiTheme="majorEastAsia" w:hAnsiTheme="majorEastAsia" w:eastAsiaTheme="majorEastAsia" w:cstheme="majorEastAsia"/>
          <w:bCs/>
          <w:sz w:val="24"/>
          <w:u w:val="single"/>
          <w:lang w:val="en-US" w:eastAsia="zh-CN"/>
        </w:rPr>
        <w:t xml:space="preserve"> </w:t>
      </w:r>
      <w:r>
        <w:rPr>
          <w:rFonts w:hint="eastAsia" w:asciiTheme="majorEastAsia" w:hAnsiTheme="majorEastAsia" w:eastAsiaTheme="majorEastAsia" w:cstheme="majorEastAsia"/>
          <w:bCs/>
          <w:sz w:val="24"/>
          <w:u w:val="single"/>
        </w:rPr>
        <w:t xml:space="preserve">（公章）     </w:t>
      </w:r>
    </w:p>
    <w:p>
      <w:pPr>
        <w:spacing w:line="360" w:lineRule="auto"/>
        <w:ind w:firstLine="422"/>
        <w:rPr>
          <w:rFonts w:hint="eastAsia" w:asciiTheme="majorEastAsia" w:hAnsiTheme="majorEastAsia" w:eastAsiaTheme="majorEastAsia" w:cstheme="majorEastAsia"/>
          <w:bCs/>
          <w:sz w:val="24"/>
          <w:u w:val="single"/>
        </w:rPr>
      </w:pPr>
      <w:r>
        <w:rPr>
          <w:rFonts w:hint="eastAsia" w:asciiTheme="majorEastAsia" w:hAnsiTheme="majorEastAsia" w:eastAsiaTheme="majorEastAsia" w:cstheme="majorEastAsia"/>
          <w:bCs/>
          <w:sz w:val="24"/>
        </w:rPr>
        <w:t xml:space="preserve">                  法定代表人（或负责人）：</w:t>
      </w:r>
      <w:r>
        <w:rPr>
          <w:rFonts w:hint="eastAsia" w:asciiTheme="majorEastAsia" w:hAnsiTheme="majorEastAsia" w:eastAsiaTheme="majorEastAsia" w:cstheme="majorEastAsia"/>
          <w:bCs/>
          <w:sz w:val="24"/>
          <w:u w:val="single"/>
        </w:rPr>
        <w:t xml:space="preserve">           </w:t>
      </w:r>
      <w:r>
        <w:rPr>
          <w:rFonts w:hint="eastAsia" w:asciiTheme="majorEastAsia" w:hAnsiTheme="majorEastAsia" w:eastAsiaTheme="majorEastAsia" w:cstheme="majorEastAsia"/>
          <w:bCs/>
          <w:sz w:val="24"/>
          <w:u w:val="single"/>
          <w:lang w:val="en-US" w:eastAsia="zh-CN"/>
        </w:rPr>
        <w:t xml:space="preserve"> </w:t>
      </w:r>
      <w:r>
        <w:rPr>
          <w:rFonts w:hint="eastAsia" w:asciiTheme="majorEastAsia" w:hAnsiTheme="majorEastAsia" w:eastAsiaTheme="majorEastAsia" w:cstheme="majorEastAsia"/>
          <w:bCs/>
          <w:sz w:val="24"/>
          <w:u w:val="single"/>
        </w:rPr>
        <w:t xml:space="preserve">（签名）     </w:t>
      </w:r>
    </w:p>
    <w:p>
      <w:pPr>
        <w:ind w:left="481" w:leftChars="229" w:firstLine="3417" w:firstLineChars="1424"/>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Cs/>
          <w:sz w:val="24"/>
        </w:rPr>
        <w:t>委托代理人：</w:t>
      </w:r>
      <w:r>
        <w:rPr>
          <w:rFonts w:hint="eastAsia" w:asciiTheme="majorEastAsia" w:hAnsiTheme="majorEastAsia" w:eastAsiaTheme="majorEastAsia" w:cstheme="majorEastAsia"/>
          <w:bCs/>
          <w:sz w:val="24"/>
          <w:u w:val="single"/>
        </w:rPr>
        <w:t xml:space="preserve">            （签名）     </w:t>
      </w:r>
    </w:p>
    <w:p>
      <w:pPr>
        <w:ind w:firstLine="3840" w:firstLineChars="16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日      期：</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w:t>
      </w:r>
    </w:p>
    <w:p>
      <w:pPr>
        <w:widowControl/>
        <w:jc w:val="left"/>
        <w:rPr>
          <w:rFonts w:ascii="仿宋_GB2312" w:eastAsia="仿宋_GB2312"/>
          <w:sz w:val="24"/>
        </w:rPr>
      </w:pPr>
      <w:r>
        <w:rPr>
          <w:rFonts w:ascii="仿宋_GB2312" w:eastAsia="仿宋_GB2312"/>
          <w:sz w:val="24"/>
        </w:rPr>
        <w:br w:type="page"/>
      </w:r>
      <w:bookmarkStart w:id="66" w:name="_Toc109212591"/>
      <w:bookmarkStart w:id="67" w:name="_Toc16393676"/>
      <w:bookmarkStart w:id="68" w:name="_Toc469972739"/>
      <w:bookmarkStart w:id="69" w:name="_Toc17186236"/>
      <w:bookmarkStart w:id="70" w:name="_Toc44141222"/>
    </w:p>
    <w:p>
      <w:pPr>
        <w:widowControl/>
        <w:jc w:val="left"/>
        <w:rPr>
          <w:rFonts w:ascii="仿宋_GB2312" w:eastAsia="仿宋_GB2312"/>
          <w:sz w:val="24"/>
        </w:rPr>
      </w:pPr>
    </w:p>
    <w:p>
      <w:pPr>
        <w:widowControl/>
        <w:jc w:val="left"/>
        <w:rPr>
          <w:rFonts w:hint="eastAsia" w:ascii="黑体" w:hAnsi="Times New Roman" w:eastAsia="黑体" w:cs="Times New Roman"/>
          <w:b/>
          <w:kern w:val="0"/>
          <w:sz w:val="24"/>
          <w:szCs w:val="24"/>
          <w:lang w:val="en-US" w:eastAsia="zh-CN" w:bidi="ar-SA"/>
        </w:rPr>
      </w:pPr>
      <w:r>
        <w:rPr>
          <w:rFonts w:hint="eastAsia" w:ascii="黑体" w:eastAsia="黑体" w:cs="Times New Roman"/>
          <w:b/>
          <w:kern w:val="0"/>
          <w:sz w:val="24"/>
          <w:szCs w:val="24"/>
          <w:lang w:val="en-US" w:eastAsia="zh-CN" w:bidi="ar-SA"/>
        </w:rPr>
        <w:t>五、</w:t>
      </w:r>
      <w:r>
        <w:rPr>
          <w:rFonts w:hint="eastAsia" w:ascii="黑体" w:hAnsi="Times New Roman" w:eastAsia="黑体" w:cs="Times New Roman"/>
          <w:b/>
          <w:kern w:val="0"/>
          <w:sz w:val="24"/>
          <w:szCs w:val="24"/>
          <w:lang w:val="en-US" w:eastAsia="zh-CN" w:bidi="ar-SA"/>
        </w:rPr>
        <w:t>资格审查资料</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应附以下资料：</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1、营业执照、资质证书、安全生产许可证复印件</w:t>
      </w:r>
      <w:r>
        <w:rPr>
          <w:rFonts w:hint="eastAsia" w:asciiTheme="majorEastAsia" w:hAnsiTheme="majorEastAsia" w:eastAsiaTheme="majorEastAsia" w:cstheme="majorEastAsia"/>
          <w:bCs/>
          <w:sz w:val="24"/>
          <w:lang w:val="en-US" w:eastAsia="zh-CN"/>
        </w:rPr>
        <w:t>等</w:t>
      </w:r>
      <w:r>
        <w:rPr>
          <w:rFonts w:hint="eastAsia" w:asciiTheme="majorEastAsia" w:hAnsiTheme="majorEastAsia" w:eastAsiaTheme="majorEastAsia" w:cstheme="majorEastAsia"/>
          <w:bCs/>
          <w:sz w:val="24"/>
        </w:rPr>
        <w:t>。</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2、业绩证明材料：合同协议书（包含合同封面、承包范围、签字盖章页）复印件</w:t>
      </w:r>
      <w:r>
        <w:rPr>
          <w:rFonts w:hint="eastAsia" w:asciiTheme="majorEastAsia" w:hAnsiTheme="majorEastAsia" w:eastAsiaTheme="majorEastAsia" w:cstheme="majorEastAsia"/>
          <w:bCs/>
          <w:sz w:val="24"/>
          <w:lang w:val="en-US" w:eastAsia="zh-CN"/>
        </w:rPr>
        <w:t>等</w:t>
      </w:r>
      <w:r>
        <w:rPr>
          <w:rFonts w:hint="eastAsia" w:asciiTheme="majorEastAsia" w:hAnsiTheme="majorEastAsia" w:eastAsiaTheme="majorEastAsia" w:cstheme="majorEastAsia"/>
          <w:bCs/>
          <w:sz w:val="24"/>
        </w:rPr>
        <w:t>。</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同等条件下，优先考虑具有从事装机容量100MW级及以上的火力发电厂的一个及以上类似土建工程业绩（以合同复印件为准）的</w:t>
      </w:r>
      <w:r>
        <w:rPr>
          <w:rFonts w:hint="eastAsia" w:asciiTheme="majorEastAsia" w:hAnsiTheme="majorEastAsia" w:eastAsiaTheme="majorEastAsia" w:cstheme="majorEastAsia"/>
          <w:bCs/>
          <w:sz w:val="24"/>
          <w:lang w:eastAsia="zh-CN"/>
        </w:rPr>
        <w:t>比选</w:t>
      </w:r>
      <w:r>
        <w:rPr>
          <w:rFonts w:hint="eastAsia" w:asciiTheme="majorEastAsia" w:hAnsiTheme="majorEastAsia" w:eastAsiaTheme="majorEastAsia" w:cstheme="majorEastAsia"/>
          <w:bCs/>
          <w:sz w:val="24"/>
        </w:rPr>
        <w:t>申请人。</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3、其他：根据</w:t>
      </w:r>
      <w:r>
        <w:rPr>
          <w:rFonts w:hint="eastAsia" w:asciiTheme="majorEastAsia" w:hAnsiTheme="majorEastAsia" w:eastAsiaTheme="majorEastAsia" w:cstheme="majorEastAsia"/>
          <w:bCs/>
          <w:sz w:val="24"/>
          <w:lang w:val="en-US" w:eastAsia="zh-CN"/>
        </w:rPr>
        <w:t>第一章</w:t>
      </w:r>
      <w:r>
        <w:rPr>
          <w:rFonts w:hint="eastAsia" w:asciiTheme="majorEastAsia" w:hAnsiTheme="majorEastAsia" w:eastAsiaTheme="majorEastAsia" w:cstheme="majorEastAsia"/>
          <w:bCs/>
          <w:sz w:val="24"/>
        </w:rPr>
        <w:t>比选申请人资格要求提供</w:t>
      </w:r>
      <w:r>
        <w:rPr>
          <w:rFonts w:hint="eastAsia" w:asciiTheme="majorEastAsia" w:hAnsiTheme="majorEastAsia" w:eastAsiaTheme="majorEastAsia" w:cstheme="majorEastAsia"/>
          <w:bCs/>
          <w:sz w:val="24"/>
          <w:lang w:eastAsia="zh-CN"/>
        </w:rPr>
        <w:t>。</w:t>
      </w:r>
    </w:p>
    <w:p>
      <w:pPr>
        <w:spacing w:line="360" w:lineRule="auto"/>
        <w:ind w:firstLine="422"/>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以上证明材料复印件均应加盖企业法人公章。</w:t>
      </w:r>
    </w:p>
    <w:p>
      <w:pPr>
        <w:spacing w:line="360" w:lineRule="auto"/>
        <w:ind w:firstLine="422"/>
        <w:rPr>
          <w:rFonts w:hint="eastAsia" w:asciiTheme="majorEastAsia" w:hAnsiTheme="majorEastAsia" w:eastAsiaTheme="majorEastAsia" w:cstheme="majorEastAsia"/>
          <w:bCs/>
          <w:sz w:val="24"/>
        </w:rPr>
      </w:pPr>
    </w:p>
    <w:p>
      <w:pPr>
        <w:spacing w:line="360" w:lineRule="auto"/>
        <w:ind w:firstLine="420"/>
        <w:rPr>
          <w:rFonts w:ascii="仿宋_GB2312" w:eastAsia="仿宋_GB2312"/>
          <w:bCs/>
          <w:sz w:val="48"/>
          <w:szCs w:val="48"/>
        </w:rPr>
      </w:pPr>
    </w:p>
    <w:p>
      <w:pPr>
        <w:spacing w:line="360" w:lineRule="auto"/>
        <w:ind w:firstLine="420"/>
        <w:rPr>
          <w:rFonts w:ascii="仿宋_GB2312" w:eastAsia="仿宋_GB2312"/>
          <w:bCs/>
          <w:sz w:val="48"/>
          <w:szCs w:val="48"/>
        </w:rPr>
      </w:pPr>
    </w:p>
    <w:p>
      <w:pPr>
        <w:spacing w:line="360" w:lineRule="auto"/>
        <w:ind w:firstLine="420"/>
        <w:rPr>
          <w:rFonts w:ascii="仿宋_GB2312" w:eastAsia="仿宋_GB2312"/>
          <w:bCs/>
          <w:sz w:val="48"/>
          <w:szCs w:val="48"/>
        </w:rPr>
      </w:pPr>
    </w:p>
    <w:p>
      <w:pPr>
        <w:spacing w:line="360" w:lineRule="auto"/>
        <w:ind w:firstLine="420"/>
        <w:rPr>
          <w:rFonts w:ascii="仿宋_GB2312" w:eastAsia="仿宋_GB2312"/>
          <w:bCs/>
          <w:sz w:val="48"/>
          <w:szCs w:val="48"/>
        </w:rPr>
      </w:pPr>
    </w:p>
    <w:p>
      <w:pPr>
        <w:spacing w:line="360" w:lineRule="auto"/>
        <w:ind w:firstLine="420"/>
        <w:rPr>
          <w:rFonts w:ascii="仿宋_GB2312" w:eastAsia="仿宋_GB2312"/>
          <w:bCs/>
          <w:sz w:val="48"/>
          <w:szCs w:val="48"/>
        </w:rPr>
      </w:pPr>
    </w:p>
    <w:p>
      <w:pPr>
        <w:spacing w:line="360" w:lineRule="auto"/>
        <w:ind w:firstLine="3600" w:firstLineChars="1500"/>
        <w:rPr>
          <w:rFonts w:hint="eastAsia" w:asciiTheme="majorEastAsia" w:hAnsiTheme="majorEastAsia" w:eastAsiaTheme="majorEastAsia" w:cstheme="majorEastAsia"/>
          <w:bCs/>
          <w:sz w:val="24"/>
          <w:u w:val="single"/>
        </w:rPr>
      </w:pPr>
      <w:r>
        <w:rPr>
          <w:rFonts w:hint="eastAsia" w:asciiTheme="majorEastAsia" w:hAnsiTheme="majorEastAsia" w:eastAsiaTheme="majorEastAsia" w:cstheme="majorEastAsia"/>
          <w:bCs/>
          <w:sz w:val="24"/>
        </w:rPr>
        <w:t>比选申请人：</w:t>
      </w:r>
      <w:r>
        <w:rPr>
          <w:rFonts w:hint="eastAsia" w:asciiTheme="majorEastAsia" w:hAnsiTheme="majorEastAsia" w:eastAsiaTheme="majorEastAsia" w:cstheme="majorEastAsia"/>
          <w:bCs/>
          <w:sz w:val="24"/>
          <w:u w:val="single"/>
        </w:rPr>
        <w:t xml:space="preserve">           （公章）         </w:t>
      </w:r>
    </w:p>
    <w:p>
      <w:pPr>
        <w:widowControl/>
        <w:spacing w:line="360" w:lineRule="auto"/>
        <w:ind w:firstLine="42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                                                 </w:t>
      </w:r>
    </w:p>
    <w:p>
      <w:pPr>
        <w:spacing w:line="360" w:lineRule="auto"/>
        <w:ind w:firstLine="42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           法定代表人（或委托代理人）：</w:t>
      </w:r>
      <w:r>
        <w:rPr>
          <w:rFonts w:hint="eastAsia" w:asciiTheme="majorEastAsia" w:hAnsiTheme="majorEastAsia" w:eastAsiaTheme="majorEastAsia" w:cstheme="majorEastAsia"/>
          <w:bCs/>
          <w:sz w:val="24"/>
          <w:u w:val="single"/>
        </w:rPr>
        <w:t xml:space="preserve">            （签名）        </w:t>
      </w:r>
    </w:p>
    <w:p>
      <w:pPr>
        <w:spacing w:line="360" w:lineRule="auto"/>
        <w:ind w:firstLine="42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                                                 </w:t>
      </w:r>
    </w:p>
    <w:p>
      <w:pPr>
        <w:spacing w:line="360" w:lineRule="auto"/>
        <w:ind w:left="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Cs/>
          <w:szCs w:val="21"/>
        </w:rPr>
        <w:t xml:space="preserve">                                                   </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w:t>
      </w:r>
    </w:p>
    <w:p>
      <w:pPr>
        <w:widowControl/>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br w:type="page"/>
      </w:r>
    </w:p>
    <w:p>
      <w:pPr>
        <w:spacing w:line="360" w:lineRule="auto"/>
        <w:rPr>
          <w:rFonts w:hint="eastAsia" w:ascii="黑体" w:eastAsia="黑体" w:cs="Times New Roman"/>
          <w:b/>
          <w:kern w:val="0"/>
          <w:sz w:val="24"/>
          <w:szCs w:val="24"/>
          <w:lang w:val="en-US" w:eastAsia="zh-CN" w:bidi="ar-SA"/>
        </w:rPr>
      </w:pPr>
      <w:bookmarkStart w:id="71" w:name="_Toc479776156"/>
      <w:r>
        <w:rPr>
          <w:rFonts w:hint="eastAsia" w:ascii="黑体" w:eastAsia="黑体" w:cs="Times New Roman"/>
          <w:b/>
          <w:kern w:val="0"/>
          <w:sz w:val="24"/>
          <w:szCs w:val="24"/>
          <w:lang w:val="en-US" w:eastAsia="zh-CN" w:bidi="ar-SA"/>
        </w:rPr>
        <w:t>六、实施方案</w:t>
      </w:r>
      <w:bookmarkEnd w:id="71"/>
    </w:p>
    <w:p>
      <w:pPr>
        <w:spacing w:line="348" w:lineRule="auto"/>
        <w:ind w:firstLine="480" w:firstLineChars="200"/>
        <w:rPr>
          <w:rFonts w:hint="eastAsia"/>
          <w:sz w:val="28"/>
          <w:szCs w:val="28"/>
        </w:rPr>
      </w:pPr>
      <w:r>
        <w:rPr>
          <w:rFonts w:hint="eastAsia"/>
          <w:sz w:val="24"/>
        </w:rPr>
        <w:t>根据“</w:t>
      </w:r>
      <w:r>
        <w:rPr>
          <w:rFonts w:hint="eastAsia"/>
          <w:sz w:val="24"/>
          <w:lang w:val="en-US" w:eastAsia="zh-CN"/>
        </w:rPr>
        <w:t>2021</w:t>
      </w:r>
      <w:r>
        <w:rPr>
          <w:rFonts w:hint="eastAsia"/>
          <w:sz w:val="24"/>
        </w:rPr>
        <w:t>零星土建维护技术规范书”中对质量、安全、完成工作工期、组织机构及人员配备、维修工器具配备等系列要求，编制施工方案。</w:t>
      </w:r>
    </w:p>
    <w:p>
      <w:pPr>
        <w:spacing w:line="400" w:lineRule="exact"/>
        <w:rPr>
          <w:rFonts w:ascii="宋体" w:hAnsi="宋体" w:cs="Arial"/>
          <w:b/>
          <w:bCs/>
          <w:sz w:val="24"/>
        </w:rPr>
      </w:pPr>
    </w:p>
    <w:p>
      <w:pPr>
        <w:widowControl/>
        <w:jc w:val="left"/>
        <w:rPr>
          <w:rFonts w:hint="eastAsia" w:ascii="宋体" w:hAnsi="宋体" w:eastAsia="宋体"/>
          <w:b/>
        </w:rPr>
      </w:pPr>
      <w:r>
        <w:rPr>
          <w:rFonts w:ascii="仿宋_GB2312" w:eastAsia="仿宋_GB2312"/>
        </w:rPr>
        <w:br w:type="page"/>
      </w:r>
      <w:bookmarkEnd w:id="66"/>
      <w:bookmarkEnd w:id="67"/>
      <w:bookmarkEnd w:id="68"/>
      <w:bookmarkEnd w:id="69"/>
      <w:bookmarkEnd w:id="70"/>
      <w:bookmarkStart w:id="72" w:name="_Toc479776157"/>
      <w:r>
        <w:rPr>
          <w:rFonts w:hint="eastAsia" w:ascii="黑体" w:eastAsia="黑体" w:cs="Times New Roman"/>
          <w:b/>
          <w:kern w:val="0"/>
          <w:sz w:val="24"/>
          <w:szCs w:val="24"/>
          <w:lang w:val="en-US" w:eastAsia="zh-CN" w:bidi="ar-SA"/>
        </w:rPr>
        <w:t>七、2021年度土建维护技术规范书</w:t>
      </w:r>
      <w:bookmarkEnd w:id="72"/>
    </w:p>
    <w:p>
      <w:pPr>
        <w:spacing w:line="348" w:lineRule="auto"/>
        <w:ind w:firstLine="480" w:firstLineChars="200"/>
        <w:jc w:val="left"/>
        <w:rPr>
          <w:rFonts w:hint="eastAsia" w:ascii="宋体" w:hAnsi="宋体"/>
          <w:sz w:val="24"/>
        </w:rPr>
      </w:pPr>
      <w:r>
        <w:rPr>
          <w:rFonts w:hint="eastAsia" w:ascii="宋体" w:hAnsi="宋体"/>
          <w:sz w:val="24"/>
        </w:rPr>
        <w:t>本工作相关执行标准和规范、技术质量要求、安全要求及人员配备等要求详见“零星土建维护技术规范书”（另册）。</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bookmarkStart w:id="73" w:name="_GoBack"/>
      <w:bookmarkEnd w:id="73"/>
    </w:p>
    <w:p>
      <w:pPr>
        <w:spacing w:line="360" w:lineRule="auto"/>
      </w:pPr>
    </w:p>
    <w:p>
      <w:pPr>
        <w:spacing w:line="360" w:lineRule="auto"/>
      </w:pPr>
    </w:p>
    <w:p>
      <w:pPr>
        <w:spacing w:line="360" w:lineRule="auto"/>
      </w:pPr>
    </w:p>
    <w:p>
      <w:pPr>
        <w:spacing w:line="360" w:lineRule="auto"/>
        <w:rPr>
          <w:sz w:val="52"/>
          <w:szCs w:val="52"/>
        </w:rPr>
      </w:pPr>
    </w:p>
    <w:p>
      <w:pPr>
        <w:spacing w:line="360" w:lineRule="auto"/>
        <w:rPr>
          <w:sz w:val="52"/>
          <w:szCs w:val="52"/>
        </w:rPr>
      </w:pPr>
    </w:p>
    <w:p>
      <w:pPr>
        <w:spacing w:line="360" w:lineRule="auto"/>
        <w:rPr>
          <w:sz w:val="52"/>
          <w:szCs w:val="52"/>
        </w:rPr>
      </w:pPr>
    </w:p>
    <w:p>
      <w:pPr>
        <w:spacing w:line="360" w:lineRule="auto"/>
        <w:rPr>
          <w:sz w:val="52"/>
          <w:szCs w:val="52"/>
        </w:rPr>
      </w:pPr>
    </w:p>
    <w:p>
      <w:pPr>
        <w:spacing w:line="360" w:lineRule="auto"/>
        <w:rPr>
          <w:rFonts w:hint="eastAsia" w:ascii="仿宋_GB2312" w:eastAsia="仿宋_GB2312"/>
          <w:bCs/>
          <w:szCs w:val="21"/>
        </w:rPr>
      </w:pPr>
    </w:p>
    <w:sectPr>
      <w:headerReference r:id="rId4" w:type="first"/>
      <w:headerReference r:id="rId3" w:type="default"/>
      <w:footerReference r:id="rId5" w:type="default"/>
      <w:pgSz w:w="11906" w:h="16838"/>
      <w:pgMar w:top="1304" w:right="1196"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10" w:usb3="00000000" w:csb0="0004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GPDOPB+Verdana">
    <w:altName w:val="宋体"/>
    <w:panose1 w:val="00000000000000000000"/>
    <w:charset w:val="86"/>
    <w:family w:val="swiss"/>
    <w:pitch w:val="default"/>
    <w:sig w:usb0="00000000" w:usb1="00000000" w:usb2="00000010" w:usb3="00000000" w:csb0="00040000" w:csb1="00000000"/>
  </w:font>
  <w:font w:name="Calibri Light">
    <w:panose1 w:val="020F0302020204030204"/>
    <w:charset w:val="00"/>
    <w:family w:val="auto"/>
    <w:pitch w:val="default"/>
    <w:sig w:usb0="E0002A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Mincho">
    <w:altName w:val="Yu Gothic UI"/>
    <w:panose1 w:val="02020609040205080304"/>
    <w:charset w:val="80"/>
    <w:family w:val="auto"/>
    <w:pitch w:val="default"/>
    <w:sig w:usb0="00000000" w:usb1="00000000" w:usb2="00000012" w:usb3="00000000" w:csb0="4002009F" w:csb1="DFD70000"/>
  </w:font>
  <w:font w:name="华文细黑">
    <w:altName w:val="微软雅黑"/>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Meiryo UI">
    <w:altName w:val="Yu Gothic UI"/>
    <w:panose1 w:val="020B0604030504040204"/>
    <w:charset w:val="80"/>
    <w:family w:val="auto"/>
    <w:pitch w:val="default"/>
    <w:sig w:usb0="00000000" w:usb1="00000000" w:usb2="00010012" w:usb3="00000000" w:csb0="6002009F" w:csb1="DFD7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onospace">
    <w:altName w:val="Times New Roman"/>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Style w:val="23"/>
      </w:rPr>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O&#10;EqiT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enter" w:pos="4394"/>
      </w:tabs>
      <w:jc w:val="left"/>
    </w:pPr>
    <w:r>
      <w:rPr>
        <w:rFonts w:hint="eastAsia" w:eastAsia="宋体"/>
        <w:lang w:eastAsia="zh-CN"/>
      </w:rPr>
      <w:drawing>
        <wp:anchor distT="0" distB="0" distL="114300" distR="114300" simplePos="0" relativeHeight="251681792" behindDoc="0" locked="0" layoutInCell="1" allowOverlap="1">
          <wp:simplePos x="0" y="0"/>
          <wp:positionH relativeFrom="column">
            <wp:posOffset>52070</wp:posOffset>
          </wp:positionH>
          <wp:positionV relativeFrom="paragraph">
            <wp:posOffset>27305</wp:posOffset>
          </wp:positionV>
          <wp:extent cx="1079500" cy="123190"/>
          <wp:effectExtent l="0" t="0" r="6350" b="10160"/>
          <wp:wrapNone/>
          <wp:docPr id="3" name="图片 11" descr="川投气电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descr="川投气电横"/>
                  <pic:cNvPicPr>
                    <a:picLocks noChangeAspect="1"/>
                  </pic:cNvPicPr>
                </pic:nvPicPr>
                <pic:blipFill>
                  <a:blip r:embed="rId1"/>
                  <a:stretch>
                    <a:fillRect/>
                  </a:stretch>
                </pic:blipFill>
                <pic:spPr>
                  <a:xfrm>
                    <a:off x="0" y="0"/>
                    <a:ext cx="1079500" cy="123190"/>
                  </a:xfrm>
                  <a:prstGeom prst="rect">
                    <a:avLst/>
                  </a:prstGeom>
                  <a:noFill/>
                  <a:ln w="9525">
                    <a:noFill/>
                  </a:ln>
                </pic:spPr>
              </pic:pic>
            </a:graphicData>
          </a:graphic>
        </wp:anchor>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left"/>
      <w:rPr>
        <w:rFonts w:hint="eastAsia" w:ascii="华文隶书" w:eastAsia="华文隶书"/>
        <w:u w:val="single"/>
      </w:rPr>
    </w:pPr>
    <w:r>
      <w:rPr>
        <w:rFonts w:hint="eastAsia" w:eastAsia="宋体"/>
        <w:lang w:eastAsia="zh-CN"/>
      </w:rPr>
      <w:drawing>
        <wp:anchor distT="0" distB="0" distL="114300" distR="114300" simplePos="0" relativeHeight="251678720" behindDoc="0" locked="0" layoutInCell="1" allowOverlap="1">
          <wp:simplePos x="0" y="0"/>
          <wp:positionH relativeFrom="column">
            <wp:posOffset>208280</wp:posOffset>
          </wp:positionH>
          <wp:positionV relativeFrom="paragraph">
            <wp:posOffset>88900</wp:posOffset>
          </wp:positionV>
          <wp:extent cx="1311910" cy="169545"/>
          <wp:effectExtent l="0" t="0" r="2540" b="1905"/>
          <wp:wrapNone/>
          <wp:docPr id="2" name="图片 11" descr="川投气电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川投气电横"/>
                  <pic:cNvPicPr>
                    <a:picLocks noChangeAspect="1"/>
                  </pic:cNvPicPr>
                </pic:nvPicPr>
                <pic:blipFill>
                  <a:blip r:embed="rId1"/>
                  <a:stretch>
                    <a:fillRect/>
                  </a:stretch>
                </pic:blipFill>
                <pic:spPr>
                  <a:xfrm>
                    <a:off x="0" y="0"/>
                    <a:ext cx="1311910" cy="16954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4"/>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EEC4BF0"/>
    <w:multiLevelType w:val="multilevel"/>
    <w:tmpl w:val="2EEC4BF0"/>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5FDAB424"/>
    <w:multiLevelType w:val="singleLevel"/>
    <w:tmpl w:val="5FDAB424"/>
    <w:lvl w:ilvl="0" w:tentative="0">
      <w:start w:val="1"/>
      <w:numFmt w:val="chineseCounting"/>
      <w:suff w:val="nothing"/>
      <w:lvlText w:val="%1、"/>
      <w:lvlJc w:val="left"/>
    </w:lvl>
  </w:abstractNum>
  <w:abstractNum w:abstractNumId="3">
    <w:nsid w:val="5FDAB4BE"/>
    <w:multiLevelType w:val="singleLevel"/>
    <w:tmpl w:val="5FDAB4BE"/>
    <w:lvl w:ilvl="0" w:tentative="0">
      <w:start w:val="3"/>
      <w:numFmt w:val="chineseCounting"/>
      <w:suff w:val="nothing"/>
      <w:lvlText w:val="%1、"/>
      <w:lvlJc w:val="left"/>
    </w:lvl>
  </w:abstractNum>
  <w:abstractNum w:abstractNumId="4">
    <w:nsid w:val="5FDAED84"/>
    <w:multiLevelType w:val="singleLevel"/>
    <w:tmpl w:val="5FDAED84"/>
    <w:lvl w:ilvl="0" w:tentative="0">
      <w:start w:val="5"/>
      <w:numFmt w:val="chineseCounting"/>
      <w:suff w:val="nothing"/>
      <w:lvlText w:val="%1、"/>
      <w:lvlJc w:val="left"/>
    </w:lvl>
  </w:abstractNum>
  <w:abstractNum w:abstractNumId="5">
    <w:nsid w:val="63033850"/>
    <w:multiLevelType w:val="multilevel"/>
    <w:tmpl w:val="63033850"/>
    <w:lvl w:ilvl="0" w:tentative="0">
      <w:start w:val="1"/>
      <w:numFmt w:val="chineseCountingThousand"/>
      <w:pStyle w:val="3"/>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5E48"/>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6028"/>
    <w:rsid w:val="001046BB"/>
    <w:rsid w:val="00110843"/>
    <w:rsid w:val="00111BD1"/>
    <w:rsid w:val="00114992"/>
    <w:rsid w:val="00114E7F"/>
    <w:rsid w:val="00116FF3"/>
    <w:rsid w:val="0012000A"/>
    <w:rsid w:val="0012155A"/>
    <w:rsid w:val="001238C7"/>
    <w:rsid w:val="00127B4B"/>
    <w:rsid w:val="001344C7"/>
    <w:rsid w:val="00137985"/>
    <w:rsid w:val="0014128D"/>
    <w:rsid w:val="00144168"/>
    <w:rsid w:val="00151B4F"/>
    <w:rsid w:val="0015352A"/>
    <w:rsid w:val="00156D31"/>
    <w:rsid w:val="00157768"/>
    <w:rsid w:val="00161962"/>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43960"/>
    <w:rsid w:val="00365308"/>
    <w:rsid w:val="00366515"/>
    <w:rsid w:val="0037025B"/>
    <w:rsid w:val="0037037F"/>
    <w:rsid w:val="003733B8"/>
    <w:rsid w:val="003818D2"/>
    <w:rsid w:val="003832F1"/>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21D30"/>
    <w:rsid w:val="00423912"/>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B1C68"/>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00D6"/>
    <w:rsid w:val="00792105"/>
    <w:rsid w:val="007964B6"/>
    <w:rsid w:val="007A0CC4"/>
    <w:rsid w:val="007A0EBE"/>
    <w:rsid w:val="007B0E00"/>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E35AA"/>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41F6"/>
    <w:rsid w:val="00F86E8E"/>
    <w:rsid w:val="00FA3EBD"/>
    <w:rsid w:val="00FA6675"/>
    <w:rsid w:val="00FA79ED"/>
    <w:rsid w:val="00FB71DC"/>
    <w:rsid w:val="00FC50EF"/>
    <w:rsid w:val="00FE447F"/>
    <w:rsid w:val="00FE78BC"/>
    <w:rsid w:val="00FF02EE"/>
    <w:rsid w:val="0F2227D9"/>
    <w:rsid w:val="12B3331A"/>
    <w:rsid w:val="186C682A"/>
    <w:rsid w:val="1BB33338"/>
    <w:rsid w:val="1CD22EF0"/>
    <w:rsid w:val="1E9D07E5"/>
    <w:rsid w:val="2033078F"/>
    <w:rsid w:val="20377DFD"/>
    <w:rsid w:val="23F03B8A"/>
    <w:rsid w:val="240377AC"/>
    <w:rsid w:val="26F705CC"/>
    <w:rsid w:val="27DE245D"/>
    <w:rsid w:val="284B6F8F"/>
    <w:rsid w:val="2E6933CE"/>
    <w:rsid w:val="2FE145B7"/>
    <w:rsid w:val="3083506F"/>
    <w:rsid w:val="32562521"/>
    <w:rsid w:val="333C5CC7"/>
    <w:rsid w:val="397856D5"/>
    <w:rsid w:val="41332230"/>
    <w:rsid w:val="43D93664"/>
    <w:rsid w:val="45067AA4"/>
    <w:rsid w:val="4DFD49F8"/>
    <w:rsid w:val="55130E86"/>
    <w:rsid w:val="56DF29D4"/>
    <w:rsid w:val="57476259"/>
    <w:rsid w:val="61132A6C"/>
    <w:rsid w:val="651946DF"/>
    <w:rsid w:val="681E0960"/>
    <w:rsid w:val="70AF6CFA"/>
    <w:rsid w:val="78F97DFC"/>
    <w:rsid w:val="7A11042A"/>
    <w:rsid w:val="7FFC0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4">
    <w:name w:val="heading 2"/>
    <w:basedOn w:val="1"/>
    <w:next w:val="1"/>
    <w:link w:val="29"/>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snapToGrid w:val="0"/>
      <w:spacing w:line="440" w:lineRule="atLeast"/>
      <w:outlineLvl w:val="3"/>
    </w:pPr>
    <w:rPr>
      <w:bCs/>
      <w:kern w:val="0"/>
      <w:sz w:val="24"/>
      <w:szCs w:val="28"/>
    </w:rPr>
  </w:style>
  <w:style w:type="paragraph" w:styleId="7">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1">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1"/>
    <w:next w:val="1"/>
    <w:qFormat/>
    <w:uiPriority w:val="0"/>
    <w:pPr>
      <w:spacing w:after="120"/>
      <w:ind w:left="420" w:leftChars="200" w:firstLine="420" w:firstLineChars="200"/>
    </w:pPr>
    <w:rPr>
      <w:sz w:val="21"/>
    </w:rPr>
  </w:style>
  <w:style w:type="paragraph" w:styleId="8">
    <w:name w:val="annotation subject"/>
    <w:basedOn w:val="9"/>
    <w:next w:val="9"/>
    <w:semiHidden/>
    <w:qFormat/>
    <w:uiPriority w:val="0"/>
    <w:rPr>
      <w:b/>
      <w:bCs/>
    </w:rPr>
  </w:style>
  <w:style w:type="paragraph" w:styleId="9">
    <w:name w:val="annotation text"/>
    <w:basedOn w:val="1"/>
    <w:link w:val="35"/>
    <w:semiHidden/>
    <w:qFormat/>
    <w:uiPriority w:val="99"/>
    <w:pPr>
      <w:jc w:val="left"/>
    </w:pPr>
  </w:style>
  <w:style w:type="paragraph" w:styleId="10">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11">
    <w:name w:val="Salutation"/>
    <w:basedOn w:val="1"/>
    <w:next w:val="1"/>
    <w:qFormat/>
    <w:uiPriority w:val="0"/>
    <w:rPr>
      <w:rFonts w:ascii="ˎ̥" w:hAnsi="ˎ̥" w:cs="宋体"/>
      <w:kern w:val="0"/>
      <w:sz w:val="28"/>
      <w:szCs w:val="28"/>
    </w:rPr>
  </w:style>
  <w:style w:type="paragraph" w:styleId="12">
    <w:name w:val="Body Text"/>
    <w:basedOn w:val="1"/>
    <w:qFormat/>
    <w:uiPriority w:val="0"/>
    <w:pPr>
      <w:spacing w:after="120"/>
    </w:pPr>
  </w:style>
  <w:style w:type="paragraph" w:styleId="13">
    <w:name w:val="Body Text Indent"/>
    <w:basedOn w:val="1"/>
    <w:qFormat/>
    <w:uiPriority w:val="0"/>
    <w:pPr>
      <w:snapToGrid w:val="0"/>
      <w:spacing w:after="120" w:line="440" w:lineRule="atLeast"/>
      <w:ind w:left="420" w:leftChars="200" w:firstLine="480" w:firstLineChars="200"/>
    </w:pPr>
    <w:rPr>
      <w:sz w:val="24"/>
    </w:rPr>
  </w:style>
  <w:style w:type="paragraph" w:styleId="14">
    <w:name w:val="Plain Text"/>
    <w:basedOn w:val="1"/>
    <w:link w:val="32"/>
    <w:qFormat/>
    <w:uiPriority w:val="0"/>
    <w:pPr>
      <w:snapToGrid w:val="0"/>
      <w:spacing w:line="380" w:lineRule="atLeast"/>
    </w:pPr>
    <w:rPr>
      <w:rFonts w:cs="Courier New"/>
      <w:kern w:val="0"/>
      <w:szCs w:val="21"/>
    </w:rPr>
  </w:style>
  <w:style w:type="paragraph" w:styleId="15">
    <w:name w:val="Body Text Indent 2"/>
    <w:basedOn w:val="1"/>
    <w:qFormat/>
    <w:uiPriority w:val="0"/>
    <w:pPr>
      <w:ind w:firstLine="540"/>
    </w:pPr>
    <w:rPr>
      <w:sz w:val="28"/>
      <w:szCs w:val="20"/>
    </w:rPr>
  </w:style>
  <w:style w:type="paragraph" w:styleId="16">
    <w:name w:val="Balloon Text"/>
    <w:basedOn w:val="1"/>
    <w:semiHidden/>
    <w:qFormat/>
    <w:uiPriority w:val="0"/>
    <w:rPr>
      <w:sz w:val="18"/>
      <w:szCs w:val="18"/>
    </w:rPr>
  </w:style>
  <w:style w:type="paragraph" w:styleId="17">
    <w:name w:val="footer"/>
    <w:basedOn w:val="1"/>
    <w:link w:val="38"/>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296"/>
      </w:tabs>
      <w:snapToGrid w:val="0"/>
      <w:spacing w:line="440" w:lineRule="atLeast"/>
      <w:ind w:firstLine="480" w:firstLineChars="200"/>
    </w:pPr>
    <w:rPr>
      <w:sz w:val="24"/>
    </w:rPr>
  </w:style>
  <w:style w:type="paragraph" w:styleId="20">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character" w:styleId="22">
    <w:name w:val="Strong"/>
    <w:qFormat/>
    <w:uiPriority w:val="0"/>
    <w:rPr>
      <w:b/>
      <w:bCs/>
    </w:rPr>
  </w:style>
  <w:style w:type="character" w:styleId="23">
    <w:name w:val="page number"/>
    <w:basedOn w:val="21"/>
    <w:qFormat/>
    <w:uiPriority w:val="0"/>
  </w:style>
  <w:style w:type="character" w:styleId="24">
    <w:name w:val="FollowedHyperlink"/>
    <w:basedOn w:val="21"/>
    <w:qFormat/>
    <w:uiPriority w:val="0"/>
    <w:rPr>
      <w:color w:val="282828"/>
      <w:sz w:val="18"/>
      <w:szCs w:val="18"/>
      <w:u w:val="none"/>
    </w:rPr>
  </w:style>
  <w:style w:type="character" w:styleId="25">
    <w:name w:val="Hyperlink"/>
    <w:qFormat/>
    <w:uiPriority w:val="99"/>
    <w:rPr>
      <w:color w:val="0000FF"/>
      <w:u w:val="single"/>
    </w:rPr>
  </w:style>
  <w:style w:type="character" w:styleId="26">
    <w:name w:val="annotation reference"/>
    <w:semiHidden/>
    <w:qFormat/>
    <w:uiPriority w:val="99"/>
    <w:rPr>
      <w:sz w:val="21"/>
      <w:szCs w:val="21"/>
    </w:rPr>
  </w:style>
  <w:style w:type="table" w:styleId="28">
    <w:name w:val="Table Grid"/>
    <w:basedOn w:val="2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9">
    <w:name w:val="标题 2 Char"/>
    <w:link w:val="4"/>
    <w:qFormat/>
    <w:uiPriority w:val="0"/>
    <w:rPr>
      <w:rFonts w:ascii="黑体" w:eastAsia="黑体"/>
      <w:b/>
      <w:sz w:val="24"/>
      <w:szCs w:val="24"/>
    </w:rPr>
  </w:style>
  <w:style w:type="paragraph" w:customStyle="1" w:styleId="30">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1">
    <w:name w:val="表格标题"/>
    <w:basedOn w:val="1"/>
    <w:qFormat/>
    <w:uiPriority w:val="0"/>
    <w:pPr>
      <w:adjustRightInd w:val="0"/>
      <w:snapToGrid w:val="0"/>
      <w:spacing w:after="156" w:afterLines="50" w:line="360" w:lineRule="auto"/>
      <w:jc w:val="center"/>
    </w:pPr>
    <w:rPr>
      <w:rFonts w:eastAsia="黑体"/>
      <w:bCs/>
      <w:sz w:val="32"/>
      <w:szCs w:val="32"/>
    </w:rPr>
  </w:style>
  <w:style w:type="character" w:customStyle="1" w:styleId="32">
    <w:name w:val="纯文本 Char"/>
    <w:link w:val="14"/>
    <w:qFormat/>
    <w:locked/>
    <w:uiPriority w:val="0"/>
    <w:rPr>
      <w:rFonts w:eastAsia="宋体" w:cs="Courier New"/>
      <w:sz w:val="21"/>
      <w:szCs w:val="21"/>
      <w:lang w:val="en-US" w:eastAsia="zh-CN" w:bidi="ar-SA"/>
    </w:rPr>
  </w:style>
  <w:style w:type="character" w:customStyle="1" w:styleId="33">
    <w:name w:val="页眉 Char"/>
    <w:qFormat/>
    <w:uiPriority w:val="0"/>
    <w:rPr>
      <w:rFonts w:eastAsia="宋体"/>
      <w:kern w:val="2"/>
      <w:sz w:val="18"/>
      <w:szCs w:val="18"/>
      <w:lang w:val="en-US" w:eastAsia="zh-CN" w:bidi="ar-SA"/>
    </w:rPr>
  </w:style>
  <w:style w:type="paragraph" w:customStyle="1" w:styleId="34">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5">
    <w:name w:val="批注文字 Char"/>
    <w:link w:val="9"/>
    <w:semiHidden/>
    <w:qFormat/>
    <w:uiPriority w:val="99"/>
    <w:rPr>
      <w:kern w:val="2"/>
      <w:sz w:val="21"/>
      <w:szCs w:val="24"/>
    </w:rPr>
  </w:style>
  <w:style w:type="character" w:customStyle="1" w:styleId="36">
    <w:name w:val="apple-converted-space"/>
    <w:basedOn w:val="21"/>
    <w:qFormat/>
    <w:uiPriority w:val="0"/>
  </w:style>
  <w:style w:type="paragraph" w:customStyle="1" w:styleId="37">
    <w:name w:val="List Paragraph"/>
    <w:basedOn w:val="1"/>
    <w:qFormat/>
    <w:uiPriority w:val="99"/>
    <w:pPr>
      <w:ind w:firstLine="420" w:firstLineChars="200"/>
    </w:pPr>
    <w:rPr>
      <w:szCs w:val="21"/>
    </w:rPr>
  </w:style>
  <w:style w:type="character" w:customStyle="1" w:styleId="38">
    <w:name w:val="页脚 Char"/>
    <w:basedOn w:val="21"/>
    <w:link w:val="17"/>
    <w:qFormat/>
    <w:uiPriority w:val="99"/>
    <w:rPr>
      <w:kern w:val="2"/>
      <w:sz w:val="18"/>
      <w:szCs w:val="18"/>
    </w:rPr>
  </w:style>
  <w:style w:type="paragraph" w:customStyle="1" w:styleId="3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0">
    <w:name w:val="Body text|1"/>
    <w:basedOn w:val="1"/>
    <w:qFormat/>
    <w:uiPriority w:val="0"/>
    <w:pPr>
      <w:widowControl w:val="0"/>
      <w:shd w:val="clear" w:color="auto" w:fill="auto"/>
      <w:spacing w:line="446" w:lineRule="auto"/>
      <w:ind w:firstLine="400"/>
    </w:pPr>
    <w:rPr>
      <w:rFonts w:ascii="宋体" w:hAnsi="宋体" w:eastAsia="宋体" w:cs="宋体"/>
      <w:sz w:val="22"/>
      <w:szCs w:val="22"/>
      <w:u w:val="none"/>
      <w:shd w:val="clear" w:color="auto" w:fill="auto"/>
      <w:lang w:val="zh-TW" w:eastAsia="zh-TW" w:bidi="zh-TW"/>
    </w:rPr>
  </w:style>
  <w:style w:type="paragraph" w:customStyle="1" w:styleId="41">
    <w:name w:val="_Style 4"/>
    <w:basedOn w:val="3"/>
    <w:next w:val="1"/>
    <w:qFormat/>
    <w:uiPriority w:val="39"/>
    <w:pPr>
      <w:spacing w:before="480" w:after="0" w:line="276" w:lineRule="auto"/>
      <w:outlineLvl w:val="9"/>
    </w:pPr>
    <w:rPr>
      <w:rFonts w:ascii="Cambria" w:hAnsi="Cambria" w:eastAsia="宋体" w:cs="Times New Roman"/>
      <w:color w:val="365F91"/>
      <w:kern w:val="0"/>
      <w:sz w:val="28"/>
      <w:szCs w:val="28"/>
    </w:rPr>
  </w:style>
  <w:style w:type="paragraph" w:customStyle="1" w:styleId="42">
    <w:name w:val="样式 标题 1 + 黑体 三号 非加粗 居中 段前: 6 磅 段后: 6 磅 行距: 固定值 20 磅"/>
    <w:basedOn w:val="3"/>
    <w:qFormat/>
    <w:uiPriority w:val="0"/>
    <w:pPr>
      <w:keepNext/>
      <w:keepLines/>
      <w:spacing w:before="120" w:line="400" w:lineRule="exact"/>
      <w:jc w:val="center"/>
    </w:pPr>
    <w:rPr>
      <w:rFonts w:ascii="黑体" w:hAnsi="黑体" w:eastAsia="黑体" w:cs="宋体"/>
      <w:b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2342</Words>
  <Characters>13351</Characters>
  <Lines>111</Lines>
  <Paragraphs>31</Paragraphs>
  <ScaleCrop>false</ScaleCrop>
  <LinksUpToDate>false</LinksUpToDate>
  <CharactersWithSpaces>15662</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2017-04-10T01:44:00Z</dcterms:created>
  <dc:creator>王毅</dc:creator>
  <cp:lastModifiedBy>张能智</cp:lastModifiedBy>
  <cp:lastPrinted>2021-01-08T01:33:00Z</cp:lastPrinted>
  <dcterms:modified xsi:type="dcterms:W3CDTF">2021-01-08T01:37:19Z</dcterms:modified>
  <dc:title>四川川投水务集团有限公司</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