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eastAsia="宋体"/>
          <w:b/>
          <w:color w:val="auto"/>
          <w:sz w:val="44"/>
          <w:szCs w:val="44"/>
          <w:highlight w:val="none"/>
          <w:lang w:eastAsia="zh-CN"/>
        </w:rPr>
      </w:pPr>
      <w:r>
        <w:rPr>
          <w:rFonts w:hint="eastAsia"/>
          <w:b/>
          <w:color w:val="auto"/>
          <w:sz w:val="44"/>
          <w:szCs w:val="44"/>
          <w:highlight w:val="none"/>
          <w:lang w:eastAsia="zh-CN"/>
        </w:rPr>
        <w:t>川投（达州）燃气发电有限公司</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bCs/>
          <w:sz w:val="44"/>
          <w:szCs w:val="44"/>
          <w:highlight w:val="none"/>
          <w:lang w:val="en-US" w:eastAsia="zh-CN"/>
        </w:rPr>
      </w:pPr>
      <w:r>
        <w:rPr>
          <w:rFonts w:hint="eastAsia"/>
          <w:b/>
          <w:sz w:val="44"/>
          <w:szCs w:val="44"/>
        </w:rPr>
        <w:t>达州燃气电站二期扩建项目</w:t>
      </w:r>
      <w:r>
        <w:rPr>
          <w:rFonts w:hint="eastAsia" w:ascii="宋体" w:hAnsi="宋体" w:eastAsia="宋体" w:cs="宋体"/>
          <w:b/>
          <w:bCs/>
          <w:sz w:val="44"/>
          <w:szCs w:val="44"/>
          <w:highlight w:val="none"/>
          <w:lang w:val="en-US" w:eastAsia="zh-CN"/>
        </w:rPr>
        <w:t>地质灾害</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Times New Roman" w:hAnsi="Times New Roman" w:cs="Times New Roman"/>
          <w:b/>
          <w:color w:val="auto"/>
          <w:sz w:val="44"/>
          <w:szCs w:val="44"/>
          <w:highlight w:val="none"/>
        </w:rPr>
      </w:pPr>
      <w:r>
        <w:rPr>
          <w:rFonts w:hint="eastAsia" w:ascii="宋体" w:hAnsi="宋体" w:eastAsia="宋体" w:cs="宋体"/>
          <w:b/>
          <w:bCs/>
          <w:sz w:val="44"/>
          <w:szCs w:val="44"/>
          <w:highlight w:val="none"/>
          <w:lang w:val="en-US" w:eastAsia="zh-CN"/>
        </w:rPr>
        <w:t>危险性评估报告</w:t>
      </w:r>
      <w:r>
        <w:rPr>
          <w:rFonts w:hint="eastAsia" w:ascii="Times New Roman" w:hAnsi="Times New Roman" w:cs="Times New Roman"/>
          <w:b/>
          <w:color w:val="auto"/>
          <w:sz w:val="44"/>
          <w:szCs w:val="44"/>
          <w:highlight w:val="none"/>
        </w:rPr>
        <w:t>中介机构</w:t>
      </w:r>
      <w:r>
        <w:rPr>
          <w:rFonts w:hint="eastAsia" w:ascii="Times New Roman" w:hAnsi="Times New Roman" w:cs="Times New Roman"/>
          <w:b/>
          <w:color w:val="auto"/>
          <w:sz w:val="44"/>
          <w:szCs w:val="44"/>
          <w:highlight w:val="none"/>
          <w:lang w:eastAsia="zh-CN"/>
        </w:rPr>
        <w:t>选聘</w:t>
      </w:r>
      <w:bookmarkStart w:id="0" w:name="_Toc18566"/>
      <w:bookmarkStart w:id="1" w:name="_Toc22029"/>
      <w:bookmarkStart w:id="2" w:name="_Toc2323"/>
      <w:bookmarkStart w:id="3" w:name="_Toc11111"/>
      <w:bookmarkStart w:id="4" w:name="_Toc22483"/>
      <w:bookmarkStart w:id="5" w:name="_Toc4872"/>
      <w:bookmarkStart w:id="6" w:name="_Toc2067"/>
      <w:bookmarkStart w:id="7" w:name="_Toc14584"/>
      <w:bookmarkStart w:id="8" w:name="_Toc4453"/>
      <w:bookmarkStart w:id="9" w:name="_Toc29645"/>
      <w:bookmarkStart w:id="10" w:name="_Toc7860"/>
      <w:bookmarkStart w:id="11" w:name="_Toc109212584"/>
      <w:bookmarkStart w:id="12" w:name="_Toc44141193"/>
      <w:bookmarkStart w:id="13" w:name="_Toc16393651"/>
      <w:bookmarkStart w:id="14" w:name="_Toc17186211"/>
      <w:r>
        <w:rPr>
          <w:rFonts w:hint="eastAsia" w:ascii="Times New Roman" w:hAnsi="Times New Roman" w:cs="Times New Roman"/>
          <w:b/>
          <w:color w:val="auto"/>
          <w:sz w:val="44"/>
          <w:szCs w:val="44"/>
          <w:highlight w:val="none"/>
        </w:rPr>
        <w:t>比选公告</w:t>
      </w:r>
      <w:bookmarkEnd w:id="0"/>
      <w:bookmarkEnd w:id="1"/>
      <w:bookmarkEnd w:id="2"/>
      <w:bookmarkEnd w:id="3"/>
      <w:bookmarkEnd w:id="4"/>
      <w:bookmarkEnd w:id="5"/>
      <w:bookmarkEnd w:id="6"/>
      <w:bookmarkEnd w:id="7"/>
      <w:bookmarkEnd w:id="8"/>
      <w:bookmarkEnd w:id="9"/>
      <w:bookmarkEnd w:id="10"/>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lang w:eastAsia="zh-CN"/>
        </w:rPr>
        <w:t>川投（达州）燃气发电有限公司</w:t>
      </w:r>
      <w:r>
        <w:rPr>
          <w:rFonts w:hint="eastAsia" w:ascii="仿宋_GB2312" w:eastAsia="仿宋_GB2312"/>
          <w:color w:val="auto"/>
          <w:sz w:val="24"/>
          <w:highlight w:val="none"/>
        </w:rPr>
        <w:t>（以下简称“</w:t>
      </w:r>
      <w:r>
        <w:rPr>
          <w:rFonts w:hint="eastAsia" w:ascii="仿宋_GB2312" w:eastAsia="仿宋_GB2312"/>
          <w:color w:val="auto"/>
          <w:sz w:val="24"/>
          <w:highlight w:val="none"/>
          <w:lang w:val="en-US" w:eastAsia="zh-CN"/>
        </w:rPr>
        <w:t>达州气电</w:t>
      </w:r>
      <w:r>
        <w:rPr>
          <w:rFonts w:hint="eastAsia" w:ascii="仿宋_GB2312" w:eastAsia="仿宋_GB2312"/>
          <w:color w:val="auto"/>
          <w:sz w:val="24"/>
          <w:highlight w:val="none"/>
        </w:rPr>
        <w:t>”或“比选人”）拟</w:t>
      </w:r>
      <w:r>
        <w:rPr>
          <w:rFonts w:hint="eastAsia" w:ascii="仿宋_GB2312" w:eastAsia="仿宋_GB2312"/>
          <w:color w:val="auto"/>
          <w:sz w:val="24"/>
          <w:highlight w:val="none"/>
          <w:lang w:val="en-US" w:eastAsia="zh-CN"/>
        </w:rPr>
        <w:t>开展四川达州燃气电站二期扩建项目地质灾害危险性评估报告编制工作</w:t>
      </w:r>
      <w:r>
        <w:rPr>
          <w:rFonts w:hint="eastAsia" w:ascii="仿宋_GB2312" w:eastAsia="仿宋_GB2312"/>
          <w:color w:val="auto"/>
          <w:sz w:val="24"/>
          <w:highlight w:val="none"/>
        </w:rPr>
        <w:t>，</w:t>
      </w:r>
      <w:r>
        <w:rPr>
          <w:rFonts w:hint="eastAsia" w:ascii="仿宋_GB2312" w:eastAsia="仿宋_GB2312"/>
          <w:color w:val="auto"/>
          <w:sz w:val="24"/>
        </w:rPr>
        <w:t>根据公司《</w:t>
      </w:r>
      <w:r>
        <w:rPr>
          <w:rFonts w:hint="eastAsia" w:ascii="仿宋_GB2312" w:eastAsia="仿宋_GB2312"/>
          <w:color w:val="auto"/>
          <w:sz w:val="24"/>
          <w:lang w:val="en-US" w:eastAsia="zh-CN"/>
        </w:rPr>
        <w:t>采购管理办法</w:t>
      </w:r>
      <w:r>
        <w:rPr>
          <w:rFonts w:hint="eastAsia" w:ascii="仿宋_GB2312" w:eastAsia="仿宋_GB2312"/>
          <w:color w:val="auto"/>
          <w:sz w:val="24"/>
        </w:rPr>
        <w:t>》</w:t>
      </w:r>
      <w:r>
        <w:rPr>
          <w:rFonts w:hint="eastAsia" w:ascii="仿宋_GB2312" w:eastAsia="仿宋_GB2312"/>
          <w:color w:val="auto"/>
          <w:sz w:val="24"/>
          <w:lang w:eastAsia="zh-CN"/>
        </w:rPr>
        <w:t>规定</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现</w:t>
      </w:r>
      <w:r>
        <w:rPr>
          <w:rFonts w:hint="eastAsia" w:ascii="仿宋_GB2312" w:eastAsia="仿宋_GB2312"/>
          <w:color w:val="auto"/>
          <w:sz w:val="24"/>
          <w:highlight w:val="none"/>
        </w:rPr>
        <w:t>通过公开比选方式选聘中介机构</w:t>
      </w:r>
      <w:r>
        <w:rPr>
          <w:rFonts w:hint="eastAsia" w:ascii="仿宋_GB2312" w:eastAsia="仿宋_GB2312"/>
          <w:color w:val="auto"/>
          <w:sz w:val="24"/>
          <w:highlight w:val="none"/>
          <w:lang w:eastAsia="zh-CN"/>
        </w:rPr>
        <w:t>提供</w:t>
      </w:r>
      <w:r>
        <w:rPr>
          <w:rFonts w:hint="eastAsia" w:ascii="仿宋_GB2312" w:eastAsia="仿宋_GB2312"/>
          <w:color w:val="auto"/>
          <w:sz w:val="24"/>
          <w:highlight w:val="none"/>
          <w:lang w:val="en-US" w:eastAsia="zh-CN"/>
        </w:rPr>
        <w:t>四川达州燃气电站二期扩建项目地质灾害危险性评估报告编制</w:t>
      </w:r>
      <w:r>
        <w:rPr>
          <w:rFonts w:hint="eastAsia" w:ascii="仿宋_GB2312" w:eastAsia="仿宋_GB2312"/>
          <w:color w:val="auto"/>
          <w:sz w:val="24"/>
          <w:highlight w:val="none"/>
        </w:rPr>
        <w:t>服务，欢迎符合资质条件的中介机构申请参加比选活动。</w:t>
      </w:r>
    </w:p>
    <w:p>
      <w:pPr>
        <w:spacing w:line="360" w:lineRule="auto"/>
        <w:ind w:left="0" w:leftChars="0" w:firstLine="720" w:firstLineChars="300"/>
        <w:rPr>
          <w:rFonts w:hint="eastAsia" w:ascii="黑体" w:hAnsi="ˎ̥_GB2312" w:eastAsia="黑体" w:cs="宋体"/>
          <w:color w:val="auto"/>
          <w:kern w:val="0"/>
          <w:sz w:val="24"/>
          <w:highlight w:val="none"/>
          <w:lang w:val="en-US" w:eastAsia="zh-CN"/>
        </w:rPr>
      </w:pPr>
      <w:r>
        <w:rPr>
          <w:rFonts w:hint="eastAsia" w:ascii="黑体" w:hAnsi="ˎ̥_GB2312" w:eastAsia="黑体" w:cs="宋体"/>
          <w:color w:val="auto"/>
          <w:kern w:val="0"/>
          <w:sz w:val="24"/>
          <w:highlight w:val="none"/>
          <w:lang w:val="en-US" w:eastAsia="zh-CN"/>
        </w:rPr>
        <w:t>一、</w:t>
      </w:r>
      <w:r>
        <w:rPr>
          <w:rFonts w:hint="eastAsia" w:ascii="黑体" w:hAnsi="ˎ̥_GB2312" w:eastAsia="黑体" w:cs="宋体"/>
          <w:color w:val="auto"/>
          <w:kern w:val="0"/>
          <w:sz w:val="24"/>
          <w:highlight w:val="none"/>
          <w:lang w:eastAsia="zh-CN"/>
        </w:rPr>
        <w:t>委托的主要工作内容</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eastAsia="仿宋_GB2312"/>
          <w:color w:val="auto"/>
          <w:sz w:val="24"/>
          <w:highlight w:val="none"/>
          <w:lang w:val="en-US" w:eastAsia="zh-CN"/>
        </w:rPr>
        <w:t>四川达州燃气电站二期扩建项目地质灾害危险性评估报告编制</w:t>
      </w:r>
      <w:r>
        <w:rPr>
          <w:rFonts w:hint="eastAsia" w:ascii="仿宋_GB2312" w:eastAsia="仿宋_GB2312"/>
          <w:color w:val="auto"/>
          <w:sz w:val="24"/>
          <w:highlight w:val="none"/>
        </w:rPr>
        <w:t>服务</w:t>
      </w:r>
      <w:r>
        <w:rPr>
          <w:rFonts w:hint="eastAsia" w:ascii="仿宋_GB2312" w:hAnsi="仿宋_GB2312" w:eastAsia="仿宋_GB2312" w:cs="仿宋_GB2312"/>
          <w:color w:val="auto"/>
          <w:sz w:val="24"/>
          <w:szCs w:val="24"/>
          <w:highlight w:val="none"/>
          <w:lang w:val="en-US" w:eastAsia="zh-CN"/>
        </w:rPr>
        <w:t>，编写地质灾害危险性评估报告，组织并确保通过四川省专家库专家组审核，报送并取得四川省自然资源厅审批通过的《地质灾害危险性评估报告》成果报告。</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主要工作包括但不限于以下内容：</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（一）资料收集：收集整理该区域已有基础地质及环境地质资料、水文气象、规划资料。 </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（二）现场踏勘：组织专业技术人员对</w:t>
      </w:r>
      <w:r>
        <w:rPr>
          <w:rFonts w:hint="eastAsia" w:ascii="仿宋_GB2312" w:eastAsia="仿宋_GB2312"/>
          <w:color w:val="auto"/>
          <w:sz w:val="24"/>
          <w:highlight w:val="none"/>
          <w:lang w:val="en-US" w:eastAsia="zh-CN"/>
        </w:rPr>
        <w:t>四川达州燃气电站二期扩建项目</w:t>
      </w:r>
      <w:r>
        <w:rPr>
          <w:rFonts w:hint="eastAsia" w:ascii="仿宋_GB2312" w:hAnsi="仿宋_GB2312" w:eastAsia="仿宋_GB2312" w:cs="仿宋_GB2312"/>
          <w:color w:val="auto"/>
          <w:sz w:val="24"/>
          <w:szCs w:val="24"/>
          <w:highlight w:val="none"/>
          <w:lang w:val="en-US" w:eastAsia="zh-CN"/>
        </w:rPr>
        <w:t>建设和规划进行分析，并对建设场地及周边可能影响的范围地质环境条件基本特征进行综合分析工作，确定评估级别和评估范围,重点调查建设场地及其附近的地形地貌、地层岩性、地质构造、水文地质、工程地质条件和不良地质现象等。完成评估范围内的调查工作及工程地质剖面调绘。</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室内工作：通过调查，结合已有地质资料和评估区的水文气象、规划资料，经综合分析和系统整理，进而进行地质灾害的现状评估、预测评估、综合评估，提出防治措施和进行建设用地的适宜性评价。充分利用数字化和计算机技术，保证成果精度，编制</w:t>
      </w:r>
      <w:r>
        <w:rPr>
          <w:rFonts w:hint="eastAsia" w:ascii="仿宋_GB2312" w:eastAsia="仿宋_GB2312"/>
          <w:color w:val="auto"/>
          <w:sz w:val="24"/>
          <w:highlight w:val="none"/>
          <w:lang w:val="en-US" w:eastAsia="zh-CN"/>
        </w:rPr>
        <w:t>四川达州燃气电站二期扩建项目地质灾害危险性评估报告</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评审工作：经自检，评估工作成果符合相关技术要求。自检后组织召开项目评审会议，负责邀请省级专家库成员（5人）参与评审，承担评审相关费用。会议通过后再按照专家意见对报告进行修改完善，并负责向主管部门申请备案，提交完整的备案文件。</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default" w:ascii="Times New Roman" w:hAnsi="Times New Roman" w:eastAsia="仿宋_GB2312" w:cs="Times New Roman"/>
          <w:color w:val="auto"/>
          <w:sz w:val="30"/>
          <w:szCs w:val="30"/>
          <w:highlight w:val="none"/>
          <w:lang w:val="en-US" w:eastAsia="zh-CN"/>
        </w:rPr>
      </w:pPr>
      <w:r>
        <w:rPr>
          <w:rFonts w:hint="eastAsia" w:ascii="仿宋_GB2312" w:hAnsi="Times New Roman" w:eastAsia="仿宋_GB2312" w:cs="Times New Roman"/>
          <w:sz w:val="24"/>
          <w:highlight w:val="none"/>
          <w:lang w:val="en-US" w:eastAsia="zh-CN"/>
        </w:rPr>
        <w:t>工期要求：</w:t>
      </w:r>
      <w:r>
        <w:rPr>
          <w:rFonts w:hint="eastAsia" w:ascii="仿宋_GB2312" w:hAnsi="仿宋_GB2312" w:eastAsia="仿宋_GB2312" w:cs="仿宋_GB2312"/>
          <w:color w:val="auto"/>
          <w:sz w:val="24"/>
          <w:szCs w:val="24"/>
          <w:highlight w:val="none"/>
          <w:lang w:val="en-US" w:eastAsia="zh-CN"/>
        </w:rPr>
        <w:t>自本项目合同签订之日开始，至取得四川省自然资源厅审批通过的《地质灾害危险性评估报告》成果报告为止</w:t>
      </w:r>
      <w:r>
        <w:rPr>
          <w:rFonts w:hint="eastAsia" w:ascii="仿宋_GB2312" w:hAnsi="仿宋_GB2312" w:eastAsia="仿宋_GB2312" w:cs="仿宋_GB2312"/>
          <w:sz w:val="24"/>
          <w:szCs w:val="24"/>
          <w:lang w:val="en-US" w:eastAsia="zh-CN"/>
        </w:rPr>
        <w:t>（项目委托工期不得超过</w:t>
      </w:r>
      <w:r>
        <w:rPr>
          <w:rFonts w:hint="eastAsia" w:ascii="仿宋_GB2312" w:hAnsi="仿宋_GB2312" w:eastAsia="仿宋_GB2312" w:cs="仿宋_GB2312"/>
          <w:color w:val="000000"/>
          <w:sz w:val="24"/>
          <w:szCs w:val="24"/>
          <w:highlight w:val="none"/>
          <w:lang w:val="en-US" w:eastAsia="zh-CN"/>
        </w:rPr>
        <w:t>30日</w:t>
      </w:r>
      <w:r>
        <w:rPr>
          <w:rFonts w:hint="eastAsia" w:ascii="仿宋_GB2312" w:hAnsi="仿宋_GB2312" w:eastAsia="仿宋_GB2312" w:cs="仿宋_GB2312"/>
          <w:color w:val="000000"/>
          <w:sz w:val="24"/>
          <w:szCs w:val="24"/>
          <w:lang w:val="en-US" w:eastAsia="zh-CN"/>
        </w:rPr>
        <w:t>历天</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w:t>
      </w:r>
    </w:p>
    <w:p>
      <w:pPr>
        <w:spacing w:line="360" w:lineRule="auto"/>
        <w:ind w:firstLine="480" w:firstLineChars="2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二、对比选申请人的资格要求</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w:t>
      </w:r>
      <w:r>
        <w:rPr>
          <w:rFonts w:hint="eastAsia" w:ascii="仿宋_GB2312" w:eastAsia="仿宋_GB2312"/>
          <w:color w:val="auto"/>
          <w:sz w:val="24"/>
          <w:highlight w:val="none"/>
        </w:rPr>
        <w:t>比选申请人</w:t>
      </w:r>
      <w:r>
        <w:rPr>
          <w:rFonts w:hint="eastAsia" w:ascii="仿宋_GB2312" w:hAnsi="仿宋_GB2312" w:eastAsia="仿宋_GB2312" w:cs="仿宋_GB2312"/>
          <w:color w:val="auto"/>
          <w:sz w:val="24"/>
          <w:szCs w:val="24"/>
          <w:highlight w:val="none"/>
          <w:lang w:val="en-US" w:eastAsia="zh-CN"/>
        </w:rPr>
        <w:t xml:space="preserve">需具有独立承担民事责任能力，在中华人民共和国境内依法注册的法人或其他组织，提供有效的营业执照(或事业法人登记证书)。 </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w:t>
      </w:r>
      <w:r>
        <w:rPr>
          <w:rFonts w:hint="eastAsia" w:ascii="仿宋_GB2312" w:eastAsia="仿宋_GB2312"/>
          <w:color w:val="auto"/>
          <w:sz w:val="24"/>
          <w:highlight w:val="none"/>
        </w:rPr>
        <w:t>比选申请人</w:t>
      </w:r>
      <w:r>
        <w:rPr>
          <w:rFonts w:hint="eastAsia" w:ascii="仿宋_GB2312" w:hAnsi="仿宋_GB2312" w:eastAsia="仿宋_GB2312" w:cs="仿宋_GB2312"/>
          <w:color w:val="auto"/>
          <w:sz w:val="24"/>
          <w:szCs w:val="24"/>
          <w:highlight w:val="none"/>
          <w:lang w:val="en-US" w:eastAsia="zh-CN"/>
        </w:rPr>
        <w:t>具有地质灾害防治工程甲级危险性评估资质（复印件加盖公章）。</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（三）没有处于被责令停业，财产被接管、冻结、破产状态。</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（四）法定代表人为同一人的两个及两个以上法人，母公司、全资子公司及控股公司，均不得同时参加本项目投标。</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（五）近三年开展项目地质灾害危险性评估工作业绩不低于3个(必须提供合同扫描件，合同扫描件应包括封面、签字页及能显示项目名称和内容部分，否则视同没提供该业绩)。</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（六）法律法规对合格比选申请人的其他要求、规定。</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（七）</w:t>
      </w:r>
      <w:r>
        <w:rPr>
          <w:rFonts w:hint="eastAsia" w:ascii="仿宋_GB2312" w:eastAsia="仿宋_GB2312"/>
          <w:color w:val="auto"/>
          <w:sz w:val="24"/>
          <w:highlight w:val="none"/>
        </w:rPr>
        <w:t>比选申请人</w:t>
      </w:r>
      <w:r>
        <w:rPr>
          <w:rFonts w:hint="eastAsia" w:ascii="仿宋_GB2312" w:hAnsi="仿宋_GB2312" w:eastAsia="仿宋_GB2312" w:cs="仿宋_GB2312"/>
          <w:color w:val="auto"/>
          <w:sz w:val="24"/>
          <w:szCs w:val="24"/>
          <w:highlight w:val="none"/>
          <w:lang w:val="en-US" w:eastAsia="zh-CN"/>
        </w:rPr>
        <w:t>合法经营、依法执业，遵守法律法规、职业道德和执业准则，有良好社会信誉，近三年提供的中介服务未因重大执业质量等问题受到省国资委通报。（此项须由</w:t>
      </w:r>
      <w:r>
        <w:rPr>
          <w:rFonts w:hint="eastAsia" w:ascii="仿宋_GB2312" w:eastAsia="仿宋_GB2312"/>
          <w:color w:val="auto"/>
          <w:sz w:val="24"/>
          <w:highlight w:val="none"/>
        </w:rPr>
        <w:t>比选申请</w:t>
      </w:r>
      <w:r>
        <w:rPr>
          <w:rFonts w:hint="eastAsia" w:ascii="仿宋_GB2312" w:eastAsia="仿宋_GB2312"/>
          <w:color w:val="auto"/>
          <w:sz w:val="24"/>
          <w:highlight w:val="none"/>
          <w:lang w:val="en-US" w:eastAsia="zh-CN"/>
        </w:rPr>
        <w:t>机构</w:t>
      </w:r>
      <w:r>
        <w:rPr>
          <w:rFonts w:hint="eastAsia" w:ascii="仿宋_GB2312" w:hAnsi="仿宋_GB2312" w:eastAsia="仿宋_GB2312" w:cs="仿宋_GB2312"/>
          <w:color w:val="auto"/>
          <w:sz w:val="24"/>
          <w:szCs w:val="24"/>
          <w:highlight w:val="none"/>
          <w:lang w:val="en-US" w:eastAsia="zh-CN"/>
        </w:rPr>
        <w:t>进行承诺）。</w:t>
      </w:r>
    </w:p>
    <w:p>
      <w:pPr>
        <w:spacing w:line="360" w:lineRule="auto"/>
        <w:ind w:firstLine="480" w:firstLineChars="200"/>
        <w:rPr>
          <w:rFonts w:hint="eastAsia" w:ascii="仿宋_GB2312" w:hAnsi="Times New Roman" w:eastAsia="仿宋_GB2312" w:cs="Times New Roman"/>
          <w:sz w:val="24"/>
          <w:highlight w:val="none"/>
          <w:lang w:val="en-US" w:eastAsia="zh-CN"/>
        </w:rPr>
      </w:pPr>
      <w:r>
        <w:rPr>
          <w:rFonts w:hint="eastAsia" w:ascii="仿宋_GB2312" w:hAnsi="Times New Roman" w:eastAsia="仿宋_GB2312" w:cs="Times New Roman"/>
          <w:sz w:val="24"/>
          <w:highlight w:val="none"/>
          <w:lang w:val="en-US" w:eastAsia="zh-CN"/>
        </w:rPr>
        <w:t>（八）不接受联合体投标。</w:t>
      </w:r>
    </w:p>
    <w:p>
      <w:pPr>
        <w:spacing w:line="360" w:lineRule="auto"/>
        <w:ind w:firstLine="720" w:firstLineChars="3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40" w:firstLineChars="1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（一</w:t>
      </w:r>
      <w:r>
        <w:rPr>
          <w:rFonts w:hint="eastAsia" w:ascii="仿宋_GB2312" w:hAnsi="仿宋_GB2312" w:eastAsia="仿宋_GB2312" w:cs="仿宋_GB2312"/>
          <w:sz w:val="24"/>
          <w:szCs w:val="24"/>
          <w:lang w:val="eu-ES" w:eastAsia="zh-CN"/>
        </w:rPr>
        <w:t>）</w:t>
      </w:r>
      <w:r>
        <w:rPr>
          <w:rFonts w:hint="eastAsia" w:ascii="仿宋_GB2312" w:hAnsi="仿宋_GB2312" w:eastAsia="仿宋_GB2312" w:cs="仿宋_GB2312"/>
          <w:sz w:val="24"/>
          <w:szCs w:val="24"/>
        </w:rPr>
        <w:t>凡有意参加的申请人，</w:t>
      </w:r>
      <w:r>
        <w:rPr>
          <w:rFonts w:hint="eastAsia" w:ascii="仿宋_GB2312" w:hAnsi="仿宋_GB2312" w:eastAsia="仿宋_GB2312" w:cs="仿宋_GB2312"/>
          <w:sz w:val="24"/>
          <w:szCs w:val="24"/>
          <w:lang w:val="eu-ES"/>
        </w:rPr>
        <w:t>于</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18</w:t>
      </w:r>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年</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20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rPr>
        <w:t>，每日上午</w:t>
      </w:r>
      <w:r>
        <w:rPr>
          <w:rFonts w:hint="eastAsia" w:ascii="仿宋_GB2312" w:hAnsi="仿宋_GB2312" w:eastAsia="仿宋_GB2312" w:cs="仿宋_GB2312"/>
          <w:color w:val="auto"/>
          <w:sz w:val="24"/>
          <w:szCs w:val="24"/>
          <w:u w:val="none"/>
        </w:rPr>
        <w:t>9：00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12：00</w:t>
      </w:r>
      <w:r>
        <w:rPr>
          <w:rFonts w:hint="eastAsia" w:ascii="仿宋_GB2312" w:hAnsi="仿宋_GB2312" w:eastAsia="仿宋_GB2312" w:cs="仿宋_GB2312"/>
          <w:color w:val="auto"/>
          <w:sz w:val="24"/>
          <w:szCs w:val="24"/>
        </w:rPr>
        <w:t>时，下午</w:t>
      </w:r>
      <w:r>
        <w:rPr>
          <w:rFonts w:hint="eastAsia" w:ascii="仿宋_GB2312" w:hAnsi="仿宋_GB2312" w:eastAsia="仿宋_GB2312" w:cs="仿宋_GB2312"/>
          <w:color w:val="auto"/>
          <w:sz w:val="24"/>
          <w:szCs w:val="24"/>
          <w:u w:val="none"/>
        </w:rPr>
        <w:t>14：00</w:t>
      </w:r>
      <w:r>
        <w:rPr>
          <w:rFonts w:hint="eastAsia" w:ascii="仿宋_GB2312" w:hAnsi="仿宋_GB2312" w:eastAsia="仿宋_GB2312" w:cs="仿宋_GB2312"/>
          <w:color w:val="auto"/>
          <w:sz w:val="24"/>
          <w:szCs w:val="24"/>
        </w:rPr>
        <w:t>时至</w:t>
      </w:r>
      <w:r>
        <w:rPr>
          <w:rFonts w:hint="eastAsia" w:ascii="仿宋_GB2312" w:hAnsi="仿宋_GB2312" w:eastAsia="仿宋_GB2312" w:cs="仿宋_GB2312"/>
          <w:color w:val="auto"/>
          <w:sz w:val="24"/>
          <w:szCs w:val="24"/>
          <w:u w:val="none"/>
        </w:rPr>
        <w:t>17：</w:t>
      </w:r>
      <w:r>
        <w:rPr>
          <w:rFonts w:hint="eastAsia" w:ascii="仿宋_GB2312" w:hAnsi="仿宋_GB2312" w:eastAsia="仿宋_GB2312" w:cs="仿宋_GB2312"/>
          <w:color w:val="auto"/>
          <w:sz w:val="24"/>
          <w:szCs w:val="24"/>
          <w:u w:val="none"/>
          <w:lang w:val="en-US" w:eastAsia="zh-CN"/>
        </w:rPr>
        <w:t>0</w:t>
      </w:r>
      <w:r>
        <w:rPr>
          <w:rFonts w:hint="eastAsia" w:ascii="仿宋_GB2312" w:hAnsi="仿宋_GB2312" w:eastAsia="仿宋_GB2312" w:cs="仿宋_GB2312"/>
          <w:color w:val="auto"/>
          <w:sz w:val="24"/>
          <w:szCs w:val="24"/>
          <w:u w:val="none"/>
        </w:rPr>
        <w:t>0</w:t>
      </w:r>
      <w:r>
        <w:rPr>
          <w:rFonts w:hint="eastAsia" w:ascii="仿宋_GB2312" w:hAnsi="仿宋_GB2312" w:eastAsia="仿宋_GB2312" w:cs="仿宋_GB2312"/>
          <w:color w:val="auto"/>
          <w:sz w:val="24"/>
          <w:szCs w:val="24"/>
        </w:rPr>
        <w:t>时（北京时间，下同）</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按比选文件要求提交的报名材料发送至比选人指定邮箱</w:t>
      </w:r>
      <w:r>
        <w:rPr>
          <w:rFonts w:hint="eastAsia" w:ascii="仿宋_GB2312" w:hAnsi="仿宋_GB2312" w:eastAsia="仿宋_GB2312" w:cs="仿宋_GB2312"/>
          <w:color w:val="auto"/>
          <w:sz w:val="24"/>
          <w:szCs w:val="24"/>
        </w:rPr>
        <w:t>获取比选文件</w:t>
      </w:r>
      <w:r>
        <w:rPr>
          <w:rFonts w:hint="eastAsia" w:ascii="仿宋_GB2312" w:hAnsi="仿宋_GB2312" w:eastAsia="仿宋_GB2312" w:cs="仿宋_GB2312"/>
          <w:sz w:val="24"/>
          <w:szCs w:val="24"/>
          <w:lang w:val="en-US" w:eastAsia="zh-CN"/>
        </w:rPr>
        <w:t>。</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w:t>
      </w:r>
      <w:r>
        <w:rPr>
          <w:rFonts w:hint="eastAsia" w:ascii="仿宋_GB2312" w:hAnsi="仿宋_GB2312" w:eastAsia="仿宋_GB2312" w:cs="仿宋_GB2312"/>
          <w:sz w:val="24"/>
        </w:rPr>
        <w:t>发布公告的媒介：本次比选公告在</w:t>
      </w:r>
      <w:r>
        <w:rPr>
          <w:rFonts w:hint="eastAsia" w:ascii="仿宋_GB2312" w:hAnsi="仿宋_GB2312" w:eastAsia="仿宋_GB2312" w:cs="仿宋_GB2312"/>
          <w:sz w:val="24"/>
          <w:lang w:eastAsia="zh-CN"/>
        </w:rPr>
        <w:t>川投</w:t>
      </w:r>
      <w:r>
        <w:rPr>
          <w:rFonts w:hint="eastAsia" w:ascii="仿宋_GB2312" w:hAnsi="仿宋_GB2312" w:eastAsia="仿宋_GB2312" w:cs="仿宋_GB2312"/>
          <w:sz w:val="24"/>
          <w:lang w:val="en-US" w:eastAsia="zh-CN"/>
        </w:rPr>
        <w:t>集团</w:t>
      </w:r>
      <w:r>
        <w:rPr>
          <w:rFonts w:hint="eastAsia" w:ascii="仿宋_GB2312" w:hAnsi="仿宋_GB2312" w:eastAsia="仿宋_GB2312" w:cs="仿宋_GB2312"/>
          <w:sz w:val="24"/>
        </w:rPr>
        <w:t>外网（网址：</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HYPERLINK "http://www.invest.com."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http://www.invest.com.</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cn/）</w:t>
      </w:r>
      <w:r>
        <w:rPr>
          <w:rFonts w:hint="eastAsia" w:ascii="仿宋_GB2312" w:hAnsi="仿宋_GB2312" w:eastAsia="仿宋_GB2312" w:cs="仿宋_GB2312"/>
          <w:sz w:val="24"/>
          <w:lang w:val="en-US" w:eastAsia="zh-CN"/>
        </w:rPr>
        <w:t>和达州气电外网（https://ctqd.invest.com.cn/）</w:t>
      </w:r>
      <w:r>
        <w:rPr>
          <w:rFonts w:hint="eastAsia" w:ascii="仿宋_GB2312" w:hAnsi="仿宋_GB2312" w:eastAsia="仿宋_GB2312" w:cs="仿宋_GB2312"/>
          <w:sz w:val="24"/>
        </w:rPr>
        <w:t>上发布。</w:t>
      </w:r>
    </w:p>
    <w:p>
      <w:pPr>
        <w:spacing w:line="360" w:lineRule="auto"/>
        <w:ind w:left="479" w:leftChars="228"/>
        <w:rPr>
          <w:rFonts w:ascii="Verdana" w:hAnsi="Verdana" w:cs="宋体"/>
          <w:color w:val="auto"/>
          <w:kern w:val="0"/>
          <w:sz w:val="24"/>
          <w:highlight w:val="none"/>
        </w:rPr>
      </w:pPr>
      <w:r>
        <w:rPr>
          <w:rFonts w:hint="eastAsia" w:ascii="黑体" w:eastAsia="黑体"/>
          <w:color w:val="auto"/>
          <w:sz w:val="24"/>
          <w:highlight w:val="none"/>
        </w:rPr>
        <w:t>四、</w:t>
      </w:r>
      <w:r>
        <w:rPr>
          <w:rFonts w:hint="eastAsia" w:ascii="黑体" w:hAnsi="ˎ̥_GB2312" w:eastAsia="黑体" w:cs="宋体"/>
          <w:color w:val="auto"/>
          <w:kern w:val="0"/>
          <w:sz w:val="24"/>
          <w:highlight w:val="none"/>
        </w:rPr>
        <w:t>报名需提交的材料</w:t>
      </w:r>
    </w:p>
    <w:p>
      <w:pPr>
        <w:keepNext w:val="0"/>
        <w:keepLines w:val="0"/>
        <w:widowControl/>
        <w:suppressLineNumbers w:val="0"/>
        <w:spacing w:line="360" w:lineRule="auto"/>
        <w:ind w:firstLine="480" w:firstLineChars="200"/>
        <w:jc w:val="left"/>
        <w:rPr>
          <w:highlight w:val="none"/>
        </w:rPr>
      </w:pPr>
      <w:r>
        <w:rPr>
          <w:rFonts w:hint="eastAsia" w:ascii="仿宋_GB2312" w:eastAsia="仿宋_GB2312"/>
          <w:color w:val="auto"/>
          <w:sz w:val="24"/>
          <w:highlight w:val="none"/>
        </w:rPr>
        <w:t>（一）营业执照副本</w:t>
      </w:r>
      <w:r>
        <w:rPr>
          <w:rFonts w:ascii="仿宋_GB2312" w:hAnsi="宋体" w:eastAsia="仿宋_GB2312" w:cs="仿宋_GB2312"/>
          <w:color w:val="000000"/>
          <w:kern w:val="0"/>
          <w:sz w:val="24"/>
          <w:szCs w:val="24"/>
          <w:highlight w:val="none"/>
          <w:lang w:val="en-US" w:eastAsia="zh-CN" w:bidi="ar"/>
        </w:rPr>
        <w:t>原件</w:t>
      </w:r>
      <w:r>
        <w:rPr>
          <w:rFonts w:hint="eastAsia" w:ascii="仿宋_GB2312" w:hAnsi="宋体" w:eastAsia="仿宋_GB2312" w:cs="仿宋_GB2312"/>
          <w:color w:val="000000"/>
          <w:kern w:val="0"/>
          <w:sz w:val="24"/>
          <w:szCs w:val="24"/>
          <w:highlight w:val="none"/>
          <w:lang w:val="en-US" w:eastAsia="zh-CN" w:bidi="ar"/>
        </w:rPr>
        <w:t>、</w:t>
      </w:r>
      <w:r>
        <w:rPr>
          <w:rFonts w:hint="eastAsia" w:ascii="仿宋_GB2312" w:eastAsia="仿宋_GB2312"/>
          <w:color w:val="auto"/>
          <w:sz w:val="24"/>
          <w:highlight w:val="none"/>
          <w:lang w:val="en-US" w:eastAsia="zh-CN"/>
        </w:rPr>
        <w:t>留</w:t>
      </w:r>
      <w:r>
        <w:rPr>
          <w:rFonts w:hint="eastAsia" w:ascii="仿宋_GB2312" w:eastAsia="仿宋_GB2312"/>
          <w:color w:val="auto"/>
          <w:sz w:val="24"/>
          <w:highlight w:val="none"/>
          <w:u w:val="single"/>
        </w:rPr>
        <w:t>加盖鲜章</w:t>
      </w:r>
      <w:r>
        <w:rPr>
          <w:rFonts w:hint="eastAsia" w:ascii="仿宋_GB2312" w:eastAsia="仿宋_GB2312"/>
          <w:color w:val="auto"/>
          <w:sz w:val="24"/>
          <w:highlight w:val="none"/>
          <w:u w:val="single"/>
          <w:lang w:val="en-US" w:eastAsia="zh-CN"/>
        </w:rPr>
        <w:t>的</w:t>
      </w:r>
      <w:r>
        <w:rPr>
          <w:rFonts w:hint="eastAsia" w:ascii="仿宋_GB2312" w:eastAsia="仿宋_GB2312"/>
          <w:color w:val="auto"/>
          <w:sz w:val="24"/>
          <w:highlight w:val="none"/>
          <w:lang w:val="en-US" w:eastAsia="zh-CN"/>
        </w:rPr>
        <w:t>复印件</w:t>
      </w:r>
      <w:r>
        <w:rPr>
          <w:rFonts w:hint="eastAsia" w:ascii="仿宋_GB2312" w:eastAsia="仿宋_GB2312"/>
          <w:color w:val="auto"/>
          <w:sz w:val="24"/>
          <w:highlight w:val="none"/>
        </w:rPr>
        <w:t>；</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）单位介绍信原件，经办人身份证原件、</w:t>
      </w:r>
      <w:r>
        <w:rPr>
          <w:rFonts w:hint="eastAsia" w:ascii="仿宋_GB2312" w:eastAsia="仿宋_GB2312"/>
          <w:color w:val="auto"/>
          <w:sz w:val="24"/>
          <w:highlight w:val="none"/>
          <w:u w:val="single"/>
        </w:rPr>
        <w:t>留加盖鲜章的复印件</w:t>
      </w:r>
      <w:r>
        <w:rPr>
          <w:rFonts w:hint="eastAsia" w:ascii="仿宋_GB2312" w:eastAsia="仿宋_GB2312"/>
          <w:color w:val="auto"/>
          <w:sz w:val="24"/>
          <w:highlight w:val="none"/>
          <w:lang w:eastAsia="zh-CN"/>
        </w:rPr>
        <w:t>。</w:t>
      </w:r>
    </w:p>
    <w:p>
      <w:pPr>
        <w:spacing w:line="360" w:lineRule="auto"/>
        <w:ind w:firstLine="482"/>
      </w:pPr>
      <w:r>
        <w:rPr>
          <w:rFonts w:hint="eastAsia" w:ascii="仿宋_GB2312" w:hAnsi="仿宋_GB2312" w:eastAsia="仿宋_GB2312" w:cs="仿宋_GB2312"/>
          <w:sz w:val="24"/>
          <w:lang w:val="en-US" w:eastAsia="zh-CN"/>
        </w:rPr>
        <w:t>（三）</w:t>
      </w:r>
      <w:r>
        <w:rPr>
          <w:rFonts w:hint="eastAsia" w:ascii="仿宋_GB2312" w:hAnsi="仿宋_GB2312" w:eastAsia="仿宋_GB2312" w:cs="仿宋_GB2312"/>
          <w:color w:val="000000"/>
          <w:sz w:val="24"/>
          <w:szCs w:val="24"/>
          <w:lang w:val="en-US" w:eastAsia="zh-CN"/>
        </w:rPr>
        <w:t>非比选人合格供应商库申请人需填写预选合格供应商基本情况表。</w:t>
      </w:r>
    </w:p>
    <w:p>
      <w:pPr>
        <w:spacing w:line="360" w:lineRule="auto"/>
        <w:ind w:firstLine="480" w:firstLineChars="2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五、递交比选申请文件截止时间及地点</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rPr>
        <w:t>比选申请文件的递交截止时间为</w:t>
      </w:r>
      <w:r>
        <w:rPr>
          <w:rFonts w:hint="eastAsia" w:ascii="仿宋_GB2312" w:eastAsia="仿宋_GB2312"/>
          <w:color w:val="auto"/>
          <w:sz w:val="24"/>
          <w:highlight w:val="none"/>
        </w:rPr>
        <w:t>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5</w:t>
      </w:r>
      <w:r>
        <w:rPr>
          <w:rFonts w:hint="eastAsia" w:ascii="仿宋_GB2312" w:eastAsia="仿宋_GB2312"/>
          <w:color w:val="auto"/>
          <w:sz w:val="24"/>
          <w:highlight w:val="none"/>
        </w:rPr>
        <w:t>月</w:t>
      </w:r>
      <w:r>
        <w:rPr>
          <w:rFonts w:hint="eastAsia" w:ascii="仿宋_GB2312" w:eastAsia="仿宋_GB2312"/>
          <w:color w:val="auto"/>
          <w:sz w:val="24"/>
          <w:highlight w:val="none"/>
          <w:u w:val="single"/>
          <w:lang w:val="en-US" w:eastAsia="zh-CN"/>
        </w:rPr>
        <w:t>26</w:t>
      </w:r>
      <w:r>
        <w:rPr>
          <w:rFonts w:hint="eastAsia" w:ascii="仿宋_GB2312" w:eastAsia="仿宋_GB2312"/>
          <w:color w:val="auto"/>
          <w:sz w:val="24"/>
          <w:highlight w:val="none"/>
        </w:rPr>
        <w:t>日上午</w:t>
      </w:r>
      <w:r>
        <w:rPr>
          <w:rFonts w:hint="eastAsia" w:ascii="仿宋_GB2312" w:eastAsia="仿宋_GB2312"/>
          <w:color w:val="auto"/>
          <w:sz w:val="24"/>
          <w:highlight w:val="none"/>
          <w:lang w:val="en-US" w:eastAsia="zh-CN"/>
        </w:rPr>
        <w:t>11时0</w:t>
      </w:r>
      <w:r>
        <w:rPr>
          <w:rFonts w:hint="eastAsia" w:ascii="仿宋_GB2312" w:eastAsia="仿宋_GB2312"/>
          <w:color w:val="auto"/>
          <w:sz w:val="24"/>
          <w:highlight w:val="none"/>
        </w:rPr>
        <w:t xml:space="preserve">0 </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，比选申请文件必须在此规定时间之前专人</w:t>
      </w:r>
      <w:r>
        <w:rPr>
          <w:rFonts w:hint="eastAsia" w:ascii="仿宋_GB2312" w:eastAsia="仿宋_GB2312"/>
          <w:color w:val="auto"/>
          <w:sz w:val="24"/>
          <w:highlight w:val="none"/>
          <w:lang w:val="en-US" w:eastAsia="zh-CN"/>
        </w:rPr>
        <w:t>或快递（快递以送达时间为准）</w:t>
      </w:r>
      <w:r>
        <w:rPr>
          <w:rFonts w:hint="eastAsia" w:ascii="仿宋_GB2312" w:eastAsia="仿宋_GB2312"/>
          <w:color w:val="auto"/>
          <w:sz w:val="24"/>
          <w:highlight w:val="none"/>
        </w:rPr>
        <w:t>送达四川省</w:t>
      </w:r>
      <w:r>
        <w:rPr>
          <w:rFonts w:hint="eastAsia" w:ascii="仿宋_GB2312" w:eastAsia="仿宋_GB2312"/>
          <w:color w:val="auto"/>
          <w:sz w:val="24"/>
          <w:highlight w:val="none"/>
          <w:lang w:val="en-US" w:eastAsia="zh-CN"/>
        </w:rPr>
        <w:t>达州市高新区斌郎街道桥坝社区7组川投气电办公楼404室</w:t>
      </w:r>
      <w:r>
        <w:rPr>
          <w:rFonts w:hint="eastAsia" w:ascii="仿宋_GB2312" w:eastAsia="仿宋_GB2312"/>
          <w:color w:val="auto"/>
          <w:sz w:val="24"/>
          <w:highlight w:val="none"/>
        </w:rPr>
        <w:t>。比选申请文件正本一套，副本</w:t>
      </w:r>
      <w:r>
        <w:rPr>
          <w:rFonts w:hint="eastAsia" w:ascii="仿宋_GB2312" w:eastAsia="仿宋_GB2312"/>
          <w:color w:val="auto"/>
          <w:sz w:val="24"/>
          <w:highlight w:val="none"/>
          <w:lang w:val="en-US" w:eastAsia="zh-CN"/>
        </w:rPr>
        <w:t>一</w:t>
      </w:r>
      <w:r>
        <w:rPr>
          <w:rFonts w:hint="eastAsia" w:ascii="仿宋_GB2312" w:eastAsia="仿宋_GB2312"/>
          <w:color w:val="auto"/>
          <w:sz w:val="24"/>
          <w:highlight w:val="none"/>
        </w:rPr>
        <w:t>套，电子文档（</w:t>
      </w:r>
      <w:r>
        <w:rPr>
          <w:rFonts w:hint="eastAsia" w:ascii="仿宋_GB2312" w:eastAsia="仿宋_GB2312"/>
          <w:color w:val="auto"/>
          <w:sz w:val="24"/>
          <w:highlight w:val="none"/>
          <w:lang w:val="en-US" w:eastAsia="zh-CN"/>
        </w:rPr>
        <w:t>盖章的扫描版、</w:t>
      </w:r>
      <w:r>
        <w:rPr>
          <w:rFonts w:hint="eastAsia" w:ascii="仿宋_GB2312" w:eastAsia="仿宋_GB2312"/>
          <w:color w:val="auto"/>
          <w:sz w:val="24"/>
          <w:highlight w:val="none"/>
        </w:rPr>
        <w:t>限U盘）1份。迟到的比选申请文件、未按照要求密封的比选申请文件，比选人予以拒收。</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比选人定于北京时间20</w:t>
      </w:r>
      <w:r>
        <w:rPr>
          <w:rFonts w:hint="eastAsia" w:ascii="仿宋_GB2312" w:eastAsia="仿宋_GB2312"/>
          <w:color w:val="auto"/>
          <w:sz w:val="24"/>
          <w:highlight w:val="none"/>
          <w:lang w:val="en-US" w:eastAsia="zh-CN"/>
        </w:rPr>
        <w:t>22</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5</w:t>
      </w:r>
      <w:r>
        <w:rPr>
          <w:rFonts w:hint="eastAsia" w:ascii="仿宋_GB2312" w:eastAsia="仿宋_GB2312"/>
          <w:color w:val="auto"/>
          <w:sz w:val="24"/>
          <w:highlight w:val="none"/>
        </w:rPr>
        <w:t>月</w:t>
      </w:r>
      <w:r>
        <w:rPr>
          <w:rFonts w:hint="eastAsia" w:ascii="仿宋_GB2312" w:eastAsia="仿宋_GB2312"/>
          <w:color w:val="auto"/>
          <w:sz w:val="24"/>
          <w:highlight w:val="none"/>
          <w:u w:val="single"/>
          <w:lang w:val="en-US" w:eastAsia="zh-CN"/>
        </w:rPr>
        <w:t xml:space="preserve">26 </w:t>
      </w:r>
      <w:r>
        <w:rPr>
          <w:rFonts w:hint="eastAsia" w:ascii="仿宋_GB2312" w:eastAsia="仿宋_GB2312"/>
          <w:color w:val="auto"/>
          <w:sz w:val="24"/>
          <w:highlight w:val="none"/>
        </w:rPr>
        <w:t>日上午</w:t>
      </w:r>
      <w:r>
        <w:rPr>
          <w:rFonts w:hint="eastAsia" w:ascii="仿宋_GB2312" w:eastAsia="仿宋_GB2312"/>
          <w:color w:val="auto"/>
          <w:sz w:val="24"/>
          <w:highlight w:val="none"/>
          <w:lang w:val="en-US" w:eastAsia="zh-CN"/>
        </w:rPr>
        <w:t>11时0</w:t>
      </w:r>
      <w:r>
        <w:rPr>
          <w:rFonts w:hint="eastAsia" w:ascii="仿宋_GB2312" w:eastAsia="仿宋_GB2312"/>
          <w:color w:val="auto"/>
          <w:sz w:val="24"/>
          <w:highlight w:val="none"/>
        </w:rPr>
        <w:t>0</w:t>
      </w:r>
      <w:r>
        <w:rPr>
          <w:rFonts w:hint="eastAsia" w:ascii="仿宋_GB2312" w:eastAsia="仿宋_GB2312"/>
          <w:color w:val="auto"/>
          <w:sz w:val="24"/>
          <w:highlight w:val="none"/>
          <w:lang w:val="en-US" w:eastAsia="zh-CN"/>
        </w:rPr>
        <w:t>分</w:t>
      </w:r>
      <w:r>
        <w:rPr>
          <w:rFonts w:hint="eastAsia" w:ascii="仿宋_GB2312" w:eastAsia="仿宋_GB2312"/>
          <w:color w:val="auto"/>
          <w:sz w:val="24"/>
          <w:highlight w:val="none"/>
        </w:rPr>
        <w:t>在四川省</w:t>
      </w:r>
      <w:r>
        <w:rPr>
          <w:rFonts w:hint="eastAsia" w:ascii="仿宋_GB2312" w:eastAsia="仿宋_GB2312"/>
          <w:color w:val="auto"/>
          <w:sz w:val="24"/>
          <w:highlight w:val="none"/>
          <w:lang w:val="en-US" w:eastAsia="zh-CN"/>
        </w:rPr>
        <w:t>达州市高新区斌郎街道桥坝社区7组川投气电办公楼4楼</w:t>
      </w:r>
      <w:r>
        <w:rPr>
          <w:rFonts w:hint="eastAsia" w:ascii="仿宋_GB2312" w:eastAsia="仿宋_GB2312"/>
          <w:color w:val="auto"/>
          <w:sz w:val="24"/>
          <w:highlight w:val="none"/>
        </w:rPr>
        <w:t>会议室举行比选申请文件开启仪式，比选人邀请已递交比选申请文件的中介机构到现场监督，</w:t>
      </w:r>
      <w:r>
        <w:rPr>
          <w:rFonts w:hint="eastAsia" w:ascii="仿宋_GB2312" w:eastAsia="仿宋_GB2312"/>
          <w:color w:val="auto"/>
          <w:sz w:val="24"/>
          <w:highlight w:val="none"/>
          <w:lang w:val="en-US" w:eastAsia="zh-CN"/>
        </w:rPr>
        <w:t>到场的</w:t>
      </w:r>
      <w:r>
        <w:rPr>
          <w:rFonts w:hint="eastAsia" w:ascii="仿宋_GB2312" w:eastAsia="仿宋_GB2312"/>
          <w:color w:val="auto"/>
          <w:sz w:val="24"/>
          <w:highlight w:val="none"/>
        </w:rPr>
        <w:t>中介机构法定代表人或授权代理人应当对本单位递交的比选申请文件开启情况签字确认。</w:t>
      </w:r>
    </w:p>
    <w:p>
      <w:pPr>
        <w:spacing w:line="360" w:lineRule="auto"/>
        <w:ind w:firstLine="480" w:firstLineChars="200"/>
        <w:rPr>
          <w:rFonts w:hint="eastAsia" w:ascii="黑体" w:hAnsi="ˎ̥_GB2312" w:eastAsia="黑体" w:cs="宋体"/>
          <w:color w:val="auto"/>
          <w:kern w:val="0"/>
          <w:sz w:val="24"/>
          <w:highlight w:val="none"/>
        </w:rPr>
      </w:pPr>
      <w:r>
        <w:rPr>
          <w:rFonts w:hint="eastAsia" w:ascii="黑体" w:hAnsi="ˎ̥_GB2312" w:eastAsia="黑体" w:cs="宋体"/>
          <w:color w:val="auto"/>
          <w:kern w:val="0"/>
          <w:sz w:val="24"/>
          <w:highlight w:val="none"/>
        </w:rPr>
        <w:t>六、联系方式</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比 选 人： </w:t>
      </w:r>
      <w:r>
        <w:rPr>
          <w:rFonts w:hint="eastAsia" w:ascii="仿宋_GB2312" w:eastAsia="仿宋_GB2312"/>
          <w:color w:val="auto"/>
          <w:sz w:val="24"/>
          <w:highlight w:val="none"/>
          <w:lang w:eastAsia="zh-CN"/>
        </w:rPr>
        <w:t>川</w:t>
      </w:r>
      <w:r>
        <w:rPr>
          <w:rFonts w:hint="eastAsia" w:ascii="仿宋_GB2312" w:eastAsia="仿宋_GB2312"/>
          <w:color w:val="auto"/>
          <w:sz w:val="24"/>
          <w:highlight w:val="none"/>
          <w:lang w:val="en-US" w:eastAsia="zh-CN"/>
        </w:rPr>
        <w:t>投（达州）</w:t>
      </w:r>
      <w:r>
        <w:rPr>
          <w:rFonts w:hint="eastAsia" w:ascii="仿宋_GB2312" w:eastAsia="仿宋_GB2312"/>
          <w:color w:val="auto"/>
          <w:sz w:val="24"/>
          <w:highlight w:val="none"/>
          <w:lang w:eastAsia="zh-CN"/>
        </w:rPr>
        <w:t>燃气发电有限公司</w:t>
      </w:r>
    </w:p>
    <w:p>
      <w:pPr>
        <w:spacing w:line="360" w:lineRule="auto"/>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地    址： </w:t>
      </w:r>
      <w:r>
        <w:rPr>
          <w:rFonts w:hint="eastAsia" w:ascii="仿宋_GB2312" w:eastAsia="仿宋_GB2312"/>
          <w:color w:val="auto"/>
          <w:sz w:val="24"/>
          <w:highlight w:val="none"/>
          <w:lang w:eastAsia="zh-CN"/>
        </w:rPr>
        <w:t>四川省达州市高新区斌郎街道桥坝社区7组川投气电办公楼404室</w:t>
      </w:r>
    </w:p>
    <w:p>
      <w:pPr>
        <w:spacing w:line="360" w:lineRule="auto"/>
        <w:ind w:firstLine="480" w:firstLineChars="200"/>
        <w:rPr>
          <w:rFonts w:ascii="仿宋_GB2312" w:eastAsia="仿宋_GB2312"/>
          <w:color w:val="auto"/>
          <w:sz w:val="24"/>
          <w:highlight w:val="none"/>
        </w:rPr>
      </w:pPr>
      <w:r>
        <w:rPr>
          <w:rFonts w:hint="eastAsia" w:ascii="仿宋_GB2312" w:eastAsia="仿宋_GB2312"/>
          <w:color w:val="auto"/>
          <w:sz w:val="24"/>
          <w:highlight w:val="none"/>
        </w:rPr>
        <w:t xml:space="preserve">邮政编码： 610015             </w:t>
      </w:r>
    </w:p>
    <w:p>
      <w:pPr>
        <w:spacing w:line="360" w:lineRule="auto"/>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 xml:space="preserve">联 系 人： </w:t>
      </w:r>
      <w:r>
        <w:rPr>
          <w:rFonts w:hint="eastAsia" w:ascii="仿宋_GB2312" w:eastAsia="仿宋_GB2312"/>
          <w:color w:val="auto"/>
          <w:sz w:val="24"/>
          <w:highlight w:val="none"/>
          <w:lang w:val="en-US" w:eastAsia="zh-CN"/>
        </w:rPr>
        <w:t>何 亮</w:t>
      </w:r>
    </w:p>
    <w:p>
      <w:pPr>
        <w:spacing w:line="360" w:lineRule="auto"/>
        <w:ind w:firstLine="480" w:firstLineChars="200"/>
        <w:rPr>
          <w:rFonts w:hint="eastAsia" w:ascii="仿宋_GB2312" w:eastAsia="仿宋_GB2312"/>
          <w:sz w:val="24"/>
          <w:highlight w:val="none"/>
          <w:lang w:val="en-US" w:eastAsia="zh-CN"/>
        </w:rPr>
      </w:pPr>
      <w:r>
        <w:rPr>
          <w:rFonts w:hint="eastAsia" w:ascii="仿宋_GB2312" w:eastAsia="仿宋_GB2312"/>
          <w:color w:val="auto"/>
          <w:sz w:val="24"/>
          <w:highlight w:val="none"/>
        </w:rPr>
        <w:t xml:space="preserve">联系电话： </w:t>
      </w:r>
      <w:r>
        <w:rPr>
          <w:rFonts w:hint="eastAsia" w:ascii="仿宋_GB2312" w:eastAsia="仿宋_GB2312"/>
          <w:sz w:val="24"/>
          <w:highlight w:val="none"/>
          <w:lang w:val="en-US" w:eastAsia="zh-CN"/>
        </w:rPr>
        <w:t>180 9092 0752</w:t>
      </w:r>
    </w:p>
    <w:p>
      <w:pPr>
        <w:spacing w:line="360" w:lineRule="auto"/>
        <w:ind w:firstLine="480" w:firstLineChars="200"/>
        <w:rPr>
          <w:rFonts w:ascii="仿宋_GB2312" w:eastAsia="仿宋_GB2312"/>
          <w:color w:val="auto"/>
          <w:sz w:val="24"/>
          <w:highlight w:val="none"/>
        </w:rPr>
      </w:pPr>
      <w:r>
        <w:rPr>
          <w:rFonts w:hint="eastAsia" w:ascii="仿宋_GB2312" w:hAnsi="Times New Roman" w:eastAsia="仿宋_GB2312" w:cs="Times New Roman"/>
          <w:color w:val="auto"/>
          <w:kern w:val="2"/>
          <w:sz w:val="24"/>
          <w:szCs w:val="24"/>
          <w:highlight w:val="none"/>
          <w:lang w:val="en-US" w:eastAsia="zh-CN" w:bidi="ar-SA"/>
        </w:rPr>
        <w:t>邮</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箱：</w:t>
      </w:r>
      <w:r>
        <w:rPr>
          <w:rFonts w:hint="eastAsia" w:ascii="仿宋_GB2312" w:eastAsia="仿宋_GB2312" w:cs="Times New Roman"/>
          <w:color w:val="auto"/>
          <w:kern w:val="2"/>
          <w:sz w:val="24"/>
          <w:szCs w:val="24"/>
          <w:highlight w:val="none"/>
          <w:lang w:val="en-US" w:eastAsia="zh-CN" w:bidi="ar-SA"/>
        </w:rPr>
        <w:t xml:space="preserve"> </w:t>
      </w:r>
      <w:r>
        <w:rPr>
          <w:rFonts w:hint="eastAsia" w:ascii="仿宋_GB2312" w:hAnsi="Times New Roman" w:eastAsia="仿宋_GB2312" w:cs="Times New Roman"/>
          <w:color w:val="auto"/>
          <w:kern w:val="2"/>
          <w:sz w:val="24"/>
          <w:szCs w:val="24"/>
          <w:highlight w:val="none"/>
          <w:lang w:val="en-US" w:eastAsia="zh-CN" w:bidi="ar-SA"/>
        </w:rPr>
        <w:t>HL080117@sina.cn</w:t>
      </w:r>
    </w:p>
    <w:p>
      <w:pPr>
        <w:spacing w:line="360" w:lineRule="auto"/>
        <w:ind w:right="480" w:firstLine="6240" w:firstLineChars="2600"/>
        <w:rPr>
          <w:rFonts w:ascii="仿宋_GB2312" w:eastAsia="仿宋_GB2312"/>
          <w:color w:val="auto"/>
          <w:sz w:val="24"/>
          <w:highlight w:val="none"/>
        </w:rPr>
      </w:pPr>
      <w:r>
        <w:rPr>
          <w:rFonts w:hint="eastAsia" w:ascii="仿宋_GB2312" w:eastAsia="仿宋_GB2312"/>
          <w:color w:val="auto"/>
          <w:sz w:val="24"/>
          <w:highlight w:val="none"/>
        </w:rPr>
        <w:t xml:space="preserve">  </w:t>
      </w:r>
    </w:p>
    <w:bookmarkEnd w:id="11"/>
    <w:bookmarkEnd w:id="12"/>
    <w:bookmarkEnd w:id="13"/>
    <w:bookmarkEnd w:id="14"/>
    <w:p>
      <w:pPr>
        <w:spacing w:line="360" w:lineRule="auto"/>
        <w:ind w:right="480" w:firstLine="0" w:firstLineChars="0"/>
        <w:rPr>
          <w:color w:val="auto"/>
          <w:highlight w:val="none"/>
        </w:rPr>
      </w:pPr>
      <w:bookmarkStart w:id="15" w:name="_GoBack"/>
      <w:bookmarkEnd w:id="15"/>
    </w:p>
    <w:sectPr>
      <w:headerReference r:id="rId4" w:type="first"/>
      <w:footerReference r:id="rId6" w:type="first"/>
      <w:headerReference r:id="rId3" w:type="default"/>
      <w:footerReference r:id="rId5" w:type="default"/>
      <w:pgSz w:w="11906" w:h="16838"/>
      <w:pgMar w:top="1304" w:right="1196" w:bottom="1304" w:left="179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15"/>
      <w:ind w:right="360"/>
      <w:rPr>
        <w:rStyle w:val="2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Style w:val="32"/>
        <w:i/>
        <w:iCs/>
      </w:rPr>
    </w:pPr>
    <w:r>
      <w:rPr>
        <w:rStyle w:val="32"/>
        <w:rFonts w:hint="eastAsia"/>
        <w:i/>
        <w:iCs/>
        <w:lang w:val="en-US"/>
      </w:rPr>
      <w:t>川投（达州）燃气发电有限公司服务中介机构</w:t>
    </w:r>
    <w:r>
      <w:rPr>
        <w:rStyle w:val="32"/>
        <w:rFonts w:hint="eastAsia"/>
        <w:i/>
        <w:iCs/>
      </w:rPr>
      <w:t>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Style w:val="32"/>
        <w:i/>
        <w:iCs/>
      </w:rPr>
    </w:pPr>
    <w:r>
      <w:rPr>
        <w:rStyle w:val="32"/>
        <w:rFonts w:hint="eastAsia"/>
        <w:i/>
        <w:iCs/>
        <w:lang w:val="en-US"/>
      </w:rPr>
      <w:t>川投（达州）燃气发电有限公司服务中介机构</w:t>
    </w:r>
    <w:r>
      <w:rPr>
        <w:rStyle w:val="32"/>
        <w:rFonts w:hint="eastAsia"/>
        <w:i/>
        <w:iCs/>
      </w:rPr>
      <w:t>比选文件</w:t>
    </w:r>
  </w:p>
  <w:p>
    <w:pPr>
      <w:pStyle w:val="16"/>
      <w:pBdr>
        <w:bottom w:val="none" w:color="auto" w:sz="0" w:space="1"/>
      </w:pBdr>
    </w:pPr>
  </w:p>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4"/>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3"/>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1192"/>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24F2E98"/>
    <w:rsid w:val="02ED3835"/>
    <w:rsid w:val="03157439"/>
    <w:rsid w:val="03901E6B"/>
    <w:rsid w:val="04140412"/>
    <w:rsid w:val="04256747"/>
    <w:rsid w:val="043D00C3"/>
    <w:rsid w:val="045529D7"/>
    <w:rsid w:val="055F12F0"/>
    <w:rsid w:val="058C7D7A"/>
    <w:rsid w:val="058D031D"/>
    <w:rsid w:val="05EB0010"/>
    <w:rsid w:val="079056EE"/>
    <w:rsid w:val="07E10137"/>
    <w:rsid w:val="080547B3"/>
    <w:rsid w:val="0A077D78"/>
    <w:rsid w:val="0BAC175F"/>
    <w:rsid w:val="0BCF2624"/>
    <w:rsid w:val="0C140E13"/>
    <w:rsid w:val="0C16219A"/>
    <w:rsid w:val="0C460E45"/>
    <w:rsid w:val="0C9845A1"/>
    <w:rsid w:val="0D0E5F9A"/>
    <w:rsid w:val="0DA77B9E"/>
    <w:rsid w:val="0DB13571"/>
    <w:rsid w:val="0E304DEF"/>
    <w:rsid w:val="0E7F42EE"/>
    <w:rsid w:val="0E9031D4"/>
    <w:rsid w:val="0EDE1889"/>
    <w:rsid w:val="0F0C3FB1"/>
    <w:rsid w:val="0F55272F"/>
    <w:rsid w:val="0F693823"/>
    <w:rsid w:val="11197155"/>
    <w:rsid w:val="11321AAA"/>
    <w:rsid w:val="11F3312B"/>
    <w:rsid w:val="125705DE"/>
    <w:rsid w:val="127A12BB"/>
    <w:rsid w:val="12BA71BB"/>
    <w:rsid w:val="135F3DE4"/>
    <w:rsid w:val="13E933CC"/>
    <w:rsid w:val="14F605C6"/>
    <w:rsid w:val="1539055A"/>
    <w:rsid w:val="162D4D65"/>
    <w:rsid w:val="16CC050C"/>
    <w:rsid w:val="18872067"/>
    <w:rsid w:val="19C45E94"/>
    <w:rsid w:val="1A1A2B35"/>
    <w:rsid w:val="1A5C64B7"/>
    <w:rsid w:val="1B425122"/>
    <w:rsid w:val="1BBB232B"/>
    <w:rsid w:val="1CD25C18"/>
    <w:rsid w:val="1D10197E"/>
    <w:rsid w:val="1D3A2C89"/>
    <w:rsid w:val="1DFD2E1D"/>
    <w:rsid w:val="1E9D07E5"/>
    <w:rsid w:val="1EFF5D4C"/>
    <w:rsid w:val="1F6F377F"/>
    <w:rsid w:val="1F923BFD"/>
    <w:rsid w:val="2033078F"/>
    <w:rsid w:val="206D4353"/>
    <w:rsid w:val="20910B2A"/>
    <w:rsid w:val="20BC33F6"/>
    <w:rsid w:val="21342902"/>
    <w:rsid w:val="213974CB"/>
    <w:rsid w:val="232F6FFA"/>
    <w:rsid w:val="25C65B8A"/>
    <w:rsid w:val="25EE1D9F"/>
    <w:rsid w:val="26021C2E"/>
    <w:rsid w:val="268B7FCE"/>
    <w:rsid w:val="26E74096"/>
    <w:rsid w:val="27536378"/>
    <w:rsid w:val="27EE2EA6"/>
    <w:rsid w:val="284745D9"/>
    <w:rsid w:val="28E12704"/>
    <w:rsid w:val="2A271414"/>
    <w:rsid w:val="2A513BC7"/>
    <w:rsid w:val="2B14035D"/>
    <w:rsid w:val="2BFE15C4"/>
    <w:rsid w:val="2C9B7175"/>
    <w:rsid w:val="2D3F6E3B"/>
    <w:rsid w:val="2D462CA0"/>
    <w:rsid w:val="2D6D2D83"/>
    <w:rsid w:val="2D783497"/>
    <w:rsid w:val="2E216D05"/>
    <w:rsid w:val="2E6933CE"/>
    <w:rsid w:val="2F211BFD"/>
    <w:rsid w:val="2FE145B7"/>
    <w:rsid w:val="2FEF318F"/>
    <w:rsid w:val="30123539"/>
    <w:rsid w:val="30D22A2D"/>
    <w:rsid w:val="312148E5"/>
    <w:rsid w:val="32A5467B"/>
    <w:rsid w:val="33760739"/>
    <w:rsid w:val="33E97C41"/>
    <w:rsid w:val="34E431AE"/>
    <w:rsid w:val="35C07740"/>
    <w:rsid w:val="36417B2B"/>
    <w:rsid w:val="36815134"/>
    <w:rsid w:val="379C3D2F"/>
    <w:rsid w:val="38A61305"/>
    <w:rsid w:val="38F000E1"/>
    <w:rsid w:val="390A1FF1"/>
    <w:rsid w:val="39417360"/>
    <w:rsid w:val="397856D5"/>
    <w:rsid w:val="39AE210B"/>
    <w:rsid w:val="3AA3630F"/>
    <w:rsid w:val="3AC333DB"/>
    <w:rsid w:val="3AC828EE"/>
    <w:rsid w:val="3BAF729B"/>
    <w:rsid w:val="3BDF5C1C"/>
    <w:rsid w:val="3D7259AA"/>
    <w:rsid w:val="3D8E2E15"/>
    <w:rsid w:val="3DC82246"/>
    <w:rsid w:val="3E810495"/>
    <w:rsid w:val="3F584D48"/>
    <w:rsid w:val="40423E0D"/>
    <w:rsid w:val="40723B19"/>
    <w:rsid w:val="407B0784"/>
    <w:rsid w:val="40900185"/>
    <w:rsid w:val="41332230"/>
    <w:rsid w:val="42D2266A"/>
    <w:rsid w:val="43990456"/>
    <w:rsid w:val="43D93664"/>
    <w:rsid w:val="44B2227B"/>
    <w:rsid w:val="455E46E6"/>
    <w:rsid w:val="45930418"/>
    <w:rsid w:val="45D33280"/>
    <w:rsid w:val="46265D4D"/>
    <w:rsid w:val="471F331D"/>
    <w:rsid w:val="47557DAA"/>
    <w:rsid w:val="477675B9"/>
    <w:rsid w:val="48F7039F"/>
    <w:rsid w:val="490E7F43"/>
    <w:rsid w:val="49104CED"/>
    <w:rsid w:val="4B833463"/>
    <w:rsid w:val="4BAD6F5C"/>
    <w:rsid w:val="4CB80D8C"/>
    <w:rsid w:val="4D51180E"/>
    <w:rsid w:val="4DFD49F8"/>
    <w:rsid w:val="50CF0BA6"/>
    <w:rsid w:val="51176FCB"/>
    <w:rsid w:val="51622C52"/>
    <w:rsid w:val="52F6434D"/>
    <w:rsid w:val="54A4514B"/>
    <w:rsid w:val="55130E86"/>
    <w:rsid w:val="57EA6C1C"/>
    <w:rsid w:val="58426DC2"/>
    <w:rsid w:val="59164E85"/>
    <w:rsid w:val="591B2573"/>
    <w:rsid w:val="59922827"/>
    <w:rsid w:val="5AB31E1D"/>
    <w:rsid w:val="5AC61BE2"/>
    <w:rsid w:val="5AD22DC7"/>
    <w:rsid w:val="5AE577FC"/>
    <w:rsid w:val="5C0A469A"/>
    <w:rsid w:val="5C8D38EE"/>
    <w:rsid w:val="5DB22261"/>
    <w:rsid w:val="5DB75198"/>
    <w:rsid w:val="5E04288D"/>
    <w:rsid w:val="5F4D2E13"/>
    <w:rsid w:val="61794A29"/>
    <w:rsid w:val="62FB7E42"/>
    <w:rsid w:val="638C1DFD"/>
    <w:rsid w:val="64D114A6"/>
    <w:rsid w:val="64EE397F"/>
    <w:rsid w:val="653D492A"/>
    <w:rsid w:val="66007C7E"/>
    <w:rsid w:val="6610705C"/>
    <w:rsid w:val="67064606"/>
    <w:rsid w:val="682206CD"/>
    <w:rsid w:val="689E0118"/>
    <w:rsid w:val="68AC7CA1"/>
    <w:rsid w:val="69614C75"/>
    <w:rsid w:val="69E75D04"/>
    <w:rsid w:val="6AEB6212"/>
    <w:rsid w:val="6B8A0897"/>
    <w:rsid w:val="6BB40038"/>
    <w:rsid w:val="6BC7023D"/>
    <w:rsid w:val="6BD41113"/>
    <w:rsid w:val="6BE31F4C"/>
    <w:rsid w:val="6BE72E74"/>
    <w:rsid w:val="6D9401F8"/>
    <w:rsid w:val="6F87133A"/>
    <w:rsid w:val="708D252F"/>
    <w:rsid w:val="729437C7"/>
    <w:rsid w:val="734630C6"/>
    <w:rsid w:val="73DB4E45"/>
    <w:rsid w:val="74504EFB"/>
    <w:rsid w:val="745A7935"/>
    <w:rsid w:val="747F4671"/>
    <w:rsid w:val="74CE71D6"/>
    <w:rsid w:val="765C0762"/>
    <w:rsid w:val="76CD6E2F"/>
    <w:rsid w:val="77082550"/>
    <w:rsid w:val="774303C5"/>
    <w:rsid w:val="78186074"/>
    <w:rsid w:val="79795A9E"/>
    <w:rsid w:val="7A104264"/>
    <w:rsid w:val="7A155D04"/>
    <w:rsid w:val="7A377995"/>
    <w:rsid w:val="7A8471F1"/>
    <w:rsid w:val="7B390EA3"/>
    <w:rsid w:val="7B4E5D0C"/>
    <w:rsid w:val="7BA47B05"/>
    <w:rsid w:val="7D71754A"/>
    <w:rsid w:val="7F61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4">
    <w:name w:val="heading 2"/>
    <w:basedOn w:val="1"/>
    <w:next w:val="1"/>
    <w:link w:val="28"/>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snapToGrid w:val="0"/>
      <w:spacing w:line="440" w:lineRule="atLeast"/>
      <w:outlineLvl w:val="3"/>
    </w:pPr>
    <w:rPr>
      <w:bCs/>
      <w:kern w:val="0"/>
      <w:sz w:val="24"/>
      <w:szCs w:val="28"/>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8">
    <w:name w:val="annotation text"/>
    <w:basedOn w:val="1"/>
    <w:link w:val="34"/>
    <w:semiHidden/>
    <w:qFormat/>
    <w:uiPriority w:val="99"/>
    <w:pPr>
      <w:jc w:val="left"/>
    </w:pPr>
  </w:style>
  <w:style w:type="paragraph" w:styleId="9">
    <w:name w:val="Salutation"/>
    <w:basedOn w:val="1"/>
    <w:next w:val="1"/>
    <w:qFormat/>
    <w:uiPriority w:val="0"/>
    <w:rPr>
      <w:rFonts w:ascii="ˎ̥" w:hAnsi="ˎ̥" w:cs="宋体"/>
      <w:kern w:val="0"/>
      <w:sz w:val="28"/>
      <w:szCs w:val="28"/>
    </w:r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toc 3"/>
    <w:basedOn w:val="1"/>
    <w:next w:val="1"/>
    <w:qFormat/>
    <w:uiPriority w:val="0"/>
    <w:pPr>
      <w:ind w:left="840" w:leftChars="400"/>
    </w:pPr>
  </w:style>
  <w:style w:type="paragraph" w:styleId="12">
    <w:name w:val="Plain Text"/>
    <w:basedOn w:val="1"/>
    <w:link w:val="31"/>
    <w:qFormat/>
    <w:uiPriority w:val="0"/>
    <w:pPr>
      <w:snapToGrid w:val="0"/>
      <w:spacing w:line="380" w:lineRule="atLeast"/>
    </w:pPr>
    <w:rPr>
      <w:rFonts w:cs="Courier New"/>
      <w:kern w:val="0"/>
      <w:szCs w:val="21"/>
    </w:rPr>
  </w:style>
  <w:style w:type="paragraph" w:styleId="13">
    <w:name w:val="Body Text Indent 2"/>
    <w:basedOn w:val="1"/>
    <w:qFormat/>
    <w:uiPriority w:val="0"/>
    <w:pPr>
      <w:ind w:firstLine="540"/>
    </w:pPr>
    <w:rPr>
      <w:sz w:val="28"/>
      <w:szCs w:val="20"/>
    </w:r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296"/>
      </w:tabs>
      <w:snapToGrid w:val="0"/>
      <w:spacing w:line="440" w:lineRule="atLeast"/>
      <w:ind w:firstLine="480" w:firstLineChars="200"/>
    </w:pPr>
    <w:rPr>
      <w:sz w:val="24"/>
    </w:rPr>
  </w:style>
  <w:style w:type="paragraph" w:styleId="18">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annotation subject"/>
    <w:basedOn w:val="8"/>
    <w:next w:val="8"/>
    <w:semiHidden/>
    <w:qFormat/>
    <w:uiPriority w:val="0"/>
    <w:rPr>
      <w:b/>
      <w:bCs/>
    </w:rPr>
  </w:style>
  <w:style w:type="table" w:styleId="22">
    <w:name w:val="Table Grid"/>
    <w:basedOn w:val="2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Hyperlink"/>
    <w:qFormat/>
    <w:uiPriority w:val="99"/>
    <w:rPr>
      <w:color w:val="0000FF"/>
      <w:u w:val="single"/>
    </w:rPr>
  </w:style>
  <w:style w:type="character" w:styleId="27">
    <w:name w:val="annotation reference"/>
    <w:semiHidden/>
    <w:qFormat/>
    <w:uiPriority w:val="99"/>
    <w:rPr>
      <w:sz w:val="21"/>
      <w:szCs w:val="21"/>
    </w:rPr>
  </w:style>
  <w:style w:type="character" w:customStyle="1" w:styleId="28">
    <w:name w:val="标题 2 Char"/>
    <w:link w:val="4"/>
    <w:qFormat/>
    <w:uiPriority w:val="0"/>
    <w:rPr>
      <w:rFonts w:ascii="黑体" w:eastAsia="黑体"/>
      <w:b/>
      <w:sz w:val="24"/>
      <w:szCs w:val="24"/>
    </w:rPr>
  </w:style>
  <w:style w:type="paragraph" w:customStyle="1" w:styleId="29">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0">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1">
    <w:name w:val="纯文本 Char"/>
    <w:link w:val="12"/>
    <w:qFormat/>
    <w:locked/>
    <w:uiPriority w:val="0"/>
    <w:rPr>
      <w:rFonts w:eastAsia="宋体" w:cs="Courier New"/>
      <w:sz w:val="21"/>
      <w:szCs w:val="21"/>
      <w:lang w:val="en-US" w:eastAsia="zh-CN" w:bidi="ar-SA"/>
    </w:rPr>
  </w:style>
  <w:style w:type="character" w:customStyle="1" w:styleId="32">
    <w:name w:val="页眉 Char"/>
    <w:qFormat/>
    <w:uiPriority w:val="0"/>
    <w:rPr>
      <w:rFonts w:eastAsia="宋体"/>
      <w:kern w:val="2"/>
      <w:sz w:val="18"/>
      <w:szCs w:val="18"/>
      <w:lang w:val="en-US" w:eastAsia="zh-CN" w:bidi="ar-SA"/>
    </w:rPr>
  </w:style>
  <w:style w:type="paragraph" w:customStyle="1" w:styleId="33">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4">
    <w:name w:val="批注文字 Char"/>
    <w:link w:val="8"/>
    <w:semiHidden/>
    <w:qFormat/>
    <w:uiPriority w:val="99"/>
    <w:rPr>
      <w:kern w:val="2"/>
      <w:sz w:val="21"/>
      <w:szCs w:val="24"/>
    </w:rPr>
  </w:style>
  <w:style w:type="character" w:customStyle="1" w:styleId="35">
    <w:name w:val="apple-converted-space"/>
    <w:basedOn w:val="23"/>
    <w:qFormat/>
    <w:uiPriority w:val="0"/>
  </w:style>
  <w:style w:type="paragraph" w:customStyle="1" w:styleId="36">
    <w:name w:val="List Paragraph"/>
    <w:basedOn w:val="1"/>
    <w:qFormat/>
    <w:uiPriority w:val="99"/>
    <w:pPr>
      <w:ind w:firstLine="420" w:firstLineChars="200"/>
    </w:pPr>
    <w:rPr>
      <w:szCs w:val="21"/>
    </w:rPr>
  </w:style>
  <w:style w:type="character" w:customStyle="1" w:styleId="37">
    <w:name w:val="页脚 Char"/>
    <w:basedOn w:val="23"/>
    <w:link w:val="15"/>
    <w:qFormat/>
    <w:uiPriority w:val="99"/>
    <w:rPr>
      <w:kern w:val="2"/>
      <w:sz w:val="18"/>
      <w:szCs w:val="18"/>
    </w:rPr>
  </w:style>
  <w:style w:type="paragraph" w:customStyle="1" w:styleId="3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9">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TotalTime>3</TotalTime>
  <ScaleCrop>false</ScaleCrop>
  <LinksUpToDate>false</LinksUpToDate>
  <CharactersWithSpaces>15662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佐繎</cp:lastModifiedBy>
  <cp:lastPrinted>2021-06-08T00:42:00Z</cp:lastPrinted>
  <dcterms:modified xsi:type="dcterms:W3CDTF">2022-05-17T07:19:29Z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3C8318664CCE4C03AD303A1FBDABD0C9</vt:lpwstr>
  </property>
</Properties>
</file>