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highlight w:val="none"/>
          <w:lang w:val="en-US" w:eastAsia="zh-CN"/>
        </w:rPr>
      </w:pPr>
    </w:p>
    <w:p>
      <w:pPr>
        <w:spacing w:line="360" w:lineRule="auto"/>
        <w:jc w:val="center"/>
        <w:rPr>
          <w:rFonts w:hint="eastAsia"/>
          <w:highlight w:val="none"/>
          <w:lang w:eastAsia="zh-CN"/>
        </w:rPr>
      </w:pPr>
      <w:bookmarkStart w:id="70" w:name="_GoBack"/>
      <w:r>
        <w:rPr>
          <w:rFonts w:hint="eastAsia" w:asciiTheme="minorEastAsia" w:hAnsiTheme="minorEastAsia" w:eastAsiaTheme="minorEastAsia" w:cstheme="minorEastAsia"/>
          <w:b/>
          <w:sz w:val="44"/>
          <w:szCs w:val="44"/>
          <w:highlight w:val="none"/>
          <w:lang w:eastAsia="zh-CN"/>
        </w:rPr>
        <w:t>川投（达州）燃气发电有限公司</w:t>
      </w:r>
    </w:p>
    <w:p>
      <w:pPr>
        <w:spacing w:line="360" w:lineRule="auto"/>
        <w:jc w:val="center"/>
        <w:rPr>
          <w:rFonts w:hint="eastAsia" w:asciiTheme="minorEastAsia" w:hAnsiTheme="minorEastAsia" w:eastAsiaTheme="minorEastAsia" w:cstheme="minorEastAsia"/>
          <w:b/>
          <w:sz w:val="44"/>
          <w:szCs w:val="44"/>
          <w:highlight w:val="none"/>
          <w:lang w:val="en-US" w:eastAsia="zh-CN"/>
        </w:rPr>
      </w:pPr>
      <w:r>
        <w:rPr>
          <w:rFonts w:hint="eastAsia" w:asciiTheme="minorEastAsia" w:hAnsiTheme="minorEastAsia" w:eastAsiaTheme="minorEastAsia" w:cstheme="minorEastAsia"/>
          <w:b/>
          <w:sz w:val="44"/>
          <w:szCs w:val="44"/>
          <w:highlight w:val="none"/>
          <w:lang w:val="en-US" w:eastAsia="zh-CN"/>
        </w:rPr>
        <w:t>220kV升压站#1主变间隔、#2主变间隔、启备变间隔、母联间隔、燃州线间隔以及燃化线间隔悬式绝缘子、耐张绝缘子检修</w:t>
      </w:r>
    </w:p>
    <w:p>
      <w:pPr>
        <w:spacing w:line="360" w:lineRule="auto"/>
        <w:jc w:val="center"/>
        <w:rPr>
          <w:rFonts w:hint="eastAsia" w:asciiTheme="minorEastAsia" w:hAnsiTheme="minorEastAsia" w:eastAsiaTheme="minorEastAsia" w:cstheme="minorEastAsia"/>
          <w:b/>
          <w:sz w:val="44"/>
          <w:szCs w:val="44"/>
          <w:highlight w:val="none"/>
          <w:lang w:eastAsia="zh-CN"/>
        </w:rPr>
      </w:pPr>
      <w:r>
        <w:rPr>
          <w:rFonts w:hint="eastAsia" w:asciiTheme="minorEastAsia" w:hAnsiTheme="minorEastAsia" w:eastAsiaTheme="minorEastAsia" w:cstheme="minorEastAsia"/>
          <w:b/>
          <w:sz w:val="44"/>
          <w:szCs w:val="44"/>
          <w:highlight w:val="none"/>
          <w:lang w:val="en-US" w:eastAsia="zh-CN"/>
        </w:rPr>
        <w:t>服务单位选聘</w:t>
      </w:r>
    </w:p>
    <w:bookmarkEnd w:id="70"/>
    <w:p>
      <w:pPr>
        <w:pStyle w:val="23"/>
        <w:ind w:left="0" w:leftChars="0" w:firstLine="0" w:firstLineChars="0"/>
        <w:rPr>
          <w:rFonts w:hint="eastAsia" w:asciiTheme="minorEastAsia" w:hAnsiTheme="minorEastAsia" w:eastAsiaTheme="minorEastAsia" w:cstheme="minorEastAsia"/>
          <w:highlight w:val="none"/>
        </w:rPr>
      </w:pPr>
    </w:p>
    <w:p>
      <w:pPr>
        <w:spacing w:line="36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比</w:t>
      </w:r>
    </w:p>
    <w:p>
      <w:pPr>
        <w:pStyle w:val="7"/>
        <w:rPr>
          <w:rFonts w:hint="eastAsia"/>
          <w:highlight w:val="none"/>
        </w:rPr>
      </w:pPr>
    </w:p>
    <w:p>
      <w:pPr>
        <w:pStyle w:val="23"/>
        <w:rPr>
          <w:rFonts w:hint="eastAsia" w:asciiTheme="minorEastAsia" w:hAnsiTheme="minorEastAsia" w:eastAsiaTheme="minorEastAsia" w:cstheme="minorEastAsia"/>
          <w:highlight w:val="none"/>
        </w:rPr>
      </w:pPr>
    </w:p>
    <w:p>
      <w:pPr>
        <w:spacing w:line="36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选</w:t>
      </w:r>
    </w:p>
    <w:p>
      <w:pPr>
        <w:pStyle w:val="7"/>
        <w:rPr>
          <w:rFonts w:hint="eastAsia"/>
          <w:highlight w:val="none"/>
        </w:rPr>
      </w:pPr>
    </w:p>
    <w:p>
      <w:pPr>
        <w:pStyle w:val="23"/>
        <w:rPr>
          <w:rFonts w:hint="eastAsia" w:asciiTheme="minorEastAsia" w:hAnsiTheme="minorEastAsia" w:eastAsiaTheme="minorEastAsia" w:cstheme="minorEastAsia"/>
          <w:highlight w:val="none"/>
        </w:rPr>
      </w:pPr>
    </w:p>
    <w:p>
      <w:pPr>
        <w:spacing w:line="36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文</w:t>
      </w:r>
    </w:p>
    <w:p>
      <w:pPr>
        <w:pStyle w:val="7"/>
        <w:rPr>
          <w:rFonts w:hint="eastAsia"/>
          <w:highlight w:val="none"/>
        </w:rPr>
      </w:pPr>
    </w:p>
    <w:p>
      <w:pPr>
        <w:pStyle w:val="23"/>
        <w:rPr>
          <w:rFonts w:hint="eastAsia" w:asciiTheme="minorEastAsia" w:hAnsiTheme="minorEastAsia" w:eastAsiaTheme="minorEastAsia" w:cstheme="minorEastAsia"/>
          <w:highlight w:val="none"/>
        </w:rPr>
      </w:pPr>
    </w:p>
    <w:p>
      <w:pPr>
        <w:spacing w:line="360" w:lineRule="auto"/>
        <w:jc w:val="center"/>
        <w:rPr>
          <w:rFonts w:hint="eastAsia"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件</w:t>
      </w:r>
    </w:p>
    <w:p>
      <w:pPr>
        <w:pStyle w:val="2"/>
        <w:rPr>
          <w:rFonts w:hint="eastAsia"/>
        </w:rPr>
      </w:pPr>
    </w:p>
    <w:p>
      <w:pPr>
        <w:pStyle w:val="5"/>
        <w:numPr>
          <w:ilvl w:val="0"/>
          <w:numId w:val="0"/>
        </w:numPr>
        <w:tabs>
          <w:tab w:val="clear" w:pos="945"/>
        </w:tabs>
        <w:ind w:right="-630" w:rightChars="-300"/>
        <w:rPr>
          <w:rFonts w:hint="default"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t>比选编号：</w:t>
      </w:r>
      <w:r>
        <w:rPr>
          <w:rFonts w:hint="eastAsia" w:asciiTheme="minorEastAsia" w:hAnsiTheme="minorEastAsia" w:eastAsiaTheme="minorEastAsia" w:cstheme="minorEastAsia"/>
          <w:b w:val="0"/>
          <w:bCs w:val="0"/>
          <w:kern w:val="2"/>
          <w:sz w:val="32"/>
          <w:szCs w:val="32"/>
          <w:highlight w:val="none"/>
          <w:u w:val="single"/>
          <w:lang w:val="en-US" w:eastAsia="zh-CN" w:bidi="ar-SA"/>
        </w:rPr>
        <w:t>CTDZQDBX-2024-0010</w:t>
      </w:r>
    </w:p>
    <w:p>
      <w:pPr>
        <w:spacing w:line="360" w:lineRule="auto"/>
        <w:rPr>
          <w:rFonts w:hint="eastAsia"/>
          <w:u w:val="single"/>
          <w:lang w:val="en-US" w:eastAsia="zh-CN"/>
        </w:rPr>
      </w:pPr>
      <w:r>
        <w:rPr>
          <w:rFonts w:hint="eastAsia" w:asciiTheme="minorEastAsia" w:hAnsiTheme="minorEastAsia" w:eastAsiaTheme="minorEastAsia" w:cstheme="minorEastAsia"/>
          <w:b/>
          <w:bCs/>
          <w:sz w:val="32"/>
          <w:szCs w:val="32"/>
          <w:highlight w:val="none"/>
        </w:rPr>
        <w:t>项目名称：</w:t>
      </w:r>
      <w:r>
        <w:rPr>
          <w:rFonts w:hint="eastAsia" w:asciiTheme="minorEastAsia" w:hAnsiTheme="minorEastAsia" w:eastAsiaTheme="minorEastAsia" w:cstheme="minorEastAsia"/>
          <w:b w:val="0"/>
          <w:bCs w:val="0"/>
          <w:kern w:val="2"/>
          <w:sz w:val="32"/>
          <w:szCs w:val="32"/>
          <w:highlight w:val="none"/>
          <w:u w:val="single"/>
          <w:lang w:val="en-US" w:eastAsia="zh-CN" w:bidi="ar-SA"/>
        </w:rPr>
        <w:t>220kV升压站#1主变间隔、#2主变间隔、启备变间隔、母联间隔、燃州线间隔以及燃化线间隔悬式绝缘子、耐张绝缘子检修</w:t>
      </w:r>
    </w:p>
    <w:p>
      <w:pPr>
        <w:spacing w:line="360" w:lineRule="auto"/>
        <w:rPr>
          <w:rFonts w:hint="eastAsia" w:asciiTheme="minorEastAsia" w:hAnsiTheme="minorEastAsia" w:eastAsiaTheme="minorEastAsia" w:cstheme="minorEastAsia"/>
          <w:b w:val="0"/>
          <w:bCs w:val="0"/>
          <w:sz w:val="32"/>
          <w:szCs w:val="32"/>
          <w:highlight w:val="none"/>
          <w:u w:val="single"/>
          <w:lang w:eastAsia="zh-CN"/>
        </w:rPr>
      </w:pPr>
      <w:r>
        <w:rPr>
          <w:rFonts w:hint="eastAsia" w:asciiTheme="minorEastAsia" w:hAnsiTheme="minorEastAsia" w:eastAsiaTheme="minorEastAsia" w:cstheme="minorEastAsia"/>
          <w:b/>
          <w:bCs/>
          <w:sz w:val="32"/>
          <w:szCs w:val="32"/>
          <w:highlight w:val="none"/>
        </w:rPr>
        <w:t>比</w:t>
      </w:r>
      <w:r>
        <w:rPr>
          <w:rFonts w:hint="eastAsia" w:asciiTheme="minorEastAsia" w:hAnsiTheme="minorEastAsia" w:eastAsiaTheme="minorEastAsia" w:cstheme="minorEastAsia"/>
          <w:b/>
          <w:bCs/>
          <w:sz w:val="32"/>
          <w:szCs w:val="32"/>
          <w:highlight w:val="none"/>
          <w:lang w:val="en-US" w:eastAsia="zh-CN"/>
        </w:rPr>
        <w:t xml:space="preserve"> </w:t>
      </w:r>
      <w:r>
        <w:rPr>
          <w:rFonts w:hint="eastAsia" w:asciiTheme="minorEastAsia" w:hAnsiTheme="minorEastAsia" w:eastAsiaTheme="minorEastAsia" w:cstheme="minorEastAsia"/>
          <w:b/>
          <w:bCs/>
          <w:sz w:val="32"/>
          <w:szCs w:val="32"/>
          <w:highlight w:val="none"/>
        </w:rPr>
        <w:t>选</w:t>
      </w:r>
      <w:r>
        <w:rPr>
          <w:rFonts w:hint="eastAsia" w:asciiTheme="minorEastAsia" w:hAnsiTheme="minorEastAsia" w:eastAsiaTheme="minorEastAsia" w:cstheme="minorEastAsia"/>
          <w:b/>
          <w:bCs/>
          <w:sz w:val="32"/>
          <w:szCs w:val="32"/>
          <w:highlight w:val="none"/>
          <w:lang w:val="en-US" w:eastAsia="zh-CN"/>
        </w:rPr>
        <w:t xml:space="preserve"> </w:t>
      </w:r>
      <w:r>
        <w:rPr>
          <w:rFonts w:hint="eastAsia" w:asciiTheme="minorEastAsia" w:hAnsiTheme="minorEastAsia" w:eastAsiaTheme="minorEastAsia" w:cstheme="minorEastAsia"/>
          <w:b/>
          <w:bCs/>
          <w:sz w:val="32"/>
          <w:szCs w:val="32"/>
          <w:highlight w:val="none"/>
        </w:rPr>
        <w:t>人：</w:t>
      </w:r>
      <w:r>
        <w:rPr>
          <w:rFonts w:hint="eastAsia" w:asciiTheme="minorEastAsia" w:hAnsiTheme="minorEastAsia" w:eastAsiaTheme="minorEastAsia" w:cstheme="minorEastAsia"/>
          <w:b w:val="0"/>
          <w:bCs w:val="0"/>
          <w:sz w:val="32"/>
          <w:szCs w:val="32"/>
          <w:highlight w:val="none"/>
          <w:u w:val="single"/>
          <w:lang w:eastAsia="zh-CN"/>
        </w:rPr>
        <w:t>川投（达州）燃气发电有限公司</w:t>
      </w:r>
    </w:p>
    <w:p>
      <w:pPr>
        <w:spacing w:line="360" w:lineRule="auto"/>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二〇</w:t>
      </w:r>
      <w:r>
        <w:rPr>
          <w:rFonts w:hint="eastAsia" w:asciiTheme="minorEastAsia" w:hAnsiTheme="minorEastAsia" w:eastAsiaTheme="minorEastAsia" w:cstheme="minorEastAsia"/>
          <w:b/>
          <w:bCs/>
          <w:sz w:val="32"/>
          <w:szCs w:val="32"/>
          <w:highlight w:val="none"/>
          <w:lang w:val="en-US" w:eastAsia="zh-CN"/>
        </w:rPr>
        <w:t>二四年一</w:t>
      </w:r>
      <w:r>
        <w:rPr>
          <w:rFonts w:hint="eastAsia" w:asciiTheme="minorEastAsia" w:hAnsiTheme="minorEastAsia" w:eastAsiaTheme="minorEastAsia" w:cstheme="minorEastAsia"/>
          <w:b/>
          <w:bCs/>
          <w:sz w:val="32"/>
          <w:szCs w:val="32"/>
          <w:highlight w:val="none"/>
        </w:rPr>
        <w:t>月</w:t>
      </w:r>
    </w:p>
    <w:p>
      <w:pPr>
        <w:pStyle w:val="7"/>
        <w:rPr>
          <w:rFonts w:hint="eastAsia"/>
        </w:rPr>
      </w:pPr>
    </w:p>
    <w:p>
      <w:pPr>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  </w:t>
      </w:r>
    </w:p>
    <w:p>
      <w:pPr>
        <w:spacing w:line="360" w:lineRule="auto"/>
        <w:ind w:left="480"/>
        <w:jc w:val="center"/>
        <w:rPr>
          <w:rFonts w:hint="eastAsia" w:asciiTheme="minorEastAsia" w:hAnsiTheme="minorEastAsia" w:eastAsiaTheme="minorEastAsia" w:cstheme="minorEastAsia"/>
          <w:b/>
          <w:sz w:val="36"/>
          <w:szCs w:val="36"/>
          <w:highlight w:val="none"/>
        </w:rPr>
      </w:pPr>
      <w:bookmarkStart w:id="0" w:name="_Toc16393651"/>
      <w:bookmarkStart w:id="1" w:name="_Toc17186211"/>
      <w:bookmarkStart w:id="2" w:name="_Toc44141193"/>
      <w:bookmarkStart w:id="3" w:name="_Toc109212584"/>
      <w:r>
        <w:rPr>
          <w:rFonts w:hint="eastAsia" w:asciiTheme="minorEastAsia" w:hAnsiTheme="minorEastAsia" w:eastAsiaTheme="minorEastAsia" w:cstheme="minorEastAsia"/>
          <w:b/>
          <w:sz w:val="36"/>
          <w:szCs w:val="36"/>
          <w:highlight w:val="none"/>
        </w:rPr>
        <w:t>目     录</w:t>
      </w:r>
    </w:p>
    <w:p>
      <w:pPr>
        <w:pStyle w:val="21"/>
        <w:tabs>
          <w:tab w:val="right" w:leader="dot" w:pos="8789"/>
          <w:tab w:val="clear" w:pos="1695"/>
          <w:tab w:val="clear" w:pos="8280"/>
        </w:tabs>
        <w:ind w:left="0" w:leftChars="0" w:firstLine="480" w:firstLineChars="200"/>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TOC \o "1-3" \h \z \u </w:instrText>
      </w:r>
      <w:r>
        <w:rPr>
          <w:rFonts w:hint="eastAsia" w:ascii="仿宋" w:hAnsi="仿宋" w:eastAsia="仿宋" w:cs="仿宋"/>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_Toc10013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第一章</w:t>
      </w:r>
      <w:r>
        <w:rPr>
          <w:rFonts w:hint="eastAsia" w:ascii="仿宋" w:hAnsi="仿宋" w:eastAsia="仿宋" w:cs="仿宋"/>
          <w:highlight w:val="none"/>
        </w:rPr>
        <w:t xml:space="preserve"> 比选公告</w:t>
      </w:r>
      <w:r>
        <w:rPr>
          <w:rFonts w:hint="eastAsia" w:ascii="仿宋" w:hAnsi="仿宋" w:eastAsia="仿宋" w:cs="仿宋"/>
          <w:highlight w:val="none"/>
        </w:rPr>
        <w:tab/>
      </w:r>
      <w:r>
        <w:rPr>
          <w:rFonts w:hint="eastAsia" w:ascii="仿宋" w:hAnsi="仿宋" w:eastAsia="仿宋" w:cs="仿宋"/>
          <w:highlight w:val="none"/>
          <w:lang w:val="en-US" w:eastAsia="zh-CN"/>
        </w:rPr>
        <w:t>1</w:t>
      </w:r>
      <w:r>
        <w:rPr>
          <w:rFonts w:hint="eastAsia" w:ascii="仿宋" w:hAnsi="仿宋" w:eastAsia="仿宋" w:cs="仿宋"/>
          <w:highlight w:val="none"/>
        </w:rPr>
        <w:fldChar w:fldCharType="end"/>
      </w:r>
    </w:p>
    <w:p>
      <w:pPr>
        <w:pStyle w:val="18"/>
        <w:tabs>
          <w:tab w:val="right" w:leader="dot" w:pos="8789"/>
          <w:tab w:val="clear" w:pos="829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_Toc9085 </w:instrText>
      </w:r>
      <w:r>
        <w:rPr>
          <w:rFonts w:hint="eastAsia" w:ascii="仿宋" w:hAnsi="仿宋" w:eastAsia="仿宋" w:cs="仿宋"/>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二</w:t>
      </w:r>
      <w:r>
        <w:rPr>
          <w:rFonts w:hint="eastAsia" w:ascii="仿宋" w:hAnsi="仿宋" w:eastAsia="仿宋" w:cs="仿宋"/>
          <w:highlight w:val="none"/>
        </w:rPr>
        <w:t>章 比选申请人资格要求</w:t>
      </w:r>
      <w:r>
        <w:rPr>
          <w:rFonts w:hint="eastAsia" w:ascii="仿宋" w:hAnsi="仿宋" w:eastAsia="仿宋" w:cs="仿宋"/>
          <w:highlight w:val="none"/>
        </w:rPr>
        <w:tab/>
      </w:r>
      <w:r>
        <w:rPr>
          <w:rFonts w:hint="eastAsia" w:ascii="仿宋" w:hAnsi="仿宋" w:eastAsia="仿宋" w:cs="仿宋"/>
          <w:highlight w:val="none"/>
          <w:lang w:val="en-US" w:eastAsia="zh-CN"/>
        </w:rPr>
        <w:t>4</w:t>
      </w:r>
      <w:r>
        <w:rPr>
          <w:rFonts w:hint="eastAsia" w:ascii="仿宋" w:hAnsi="仿宋" w:eastAsia="仿宋" w:cs="仿宋"/>
          <w:highlight w:val="none"/>
        </w:rPr>
        <w:fldChar w:fldCharType="end"/>
      </w:r>
    </w:p>
    <w:p>
      <w:pPr>
        <w:pStyle w:val="18"/>
        <w:tabs>
          <w:tab w:val="right" w:leader="dot" w:pos="8789"/>
          <w:tab w:val="clear" w:pos="829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_Toc118 </w:instrText>
      </w:r>
      <w:r>
        <w:rPr>
          <w:rFonts w:hint="eastAsia" w:ascii="仿宋" w:hAnsi="仿宋" w:eastAsia="仿宋" w:cs="仿宋"/>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三</w:t>
      </w:r>
      <w:r>
        <w:rPr>
          <w:rFonts w:hint="eastAsia" w:ascii="仿宋" w:hAnsi="仿宋" w:eastAsia="仿宋" w:cs="仿宋"/>
          <w:highlight w:val="none"/>
        </w:rPr>
        <w:t>章 比选申请人须知</w:t>
      </w:r>
      <w:r>
        <w:rPr>
          <w:rFonts w:hint="eastAsia" w:ascii="仿宋" w:hAnsi="仿宋" w:eastAsia="仿宋" w:cs="仿宋"/>
          <w:highlight w:val="none"/>
        </w:rPr>
        <w:tab/>
      </w:r>
      <w:r>
        <w:rPr>
          <w:rFonts w:hint="eastAsia" w:ascii="仿宋" w:hAnsi="仿宋" w:eastAsia="仿宋" w:cs="仿宋"/>
          <w:highlight w:val="none"/>
          <w:lang w:val="en-US" w:eastAsia="zh-CN"/>
        </w:rPr>
        <w:t>5</w:t>
      </w:r>
      <w:r>
        <w:rPr>
          <w:rFonts w:hint="eastAsia" w:ascii="仿宋" w:hAnsi="仿宋" w:eastAsia="仿宋" w:cs="仿宋"/>
          <w:highlight w:val="none"/>
        </w:rPr>
        <w:fldChar w:fldCharType="end"/>
      </w:r>
    </w:p>
    <w:p>
      <w:pPr>
        <w:pStyle w:val="18"/>
        <w:tabs>
          <w:tab w:val="right" w:leader="dot" w:pos="8789"/>
          <w:tab w:val="clear" w:pos="8296"/>
        </w:tabs>
        <w:rPr>
          <w:rFonts w:hint="eastAsia"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_Toc4528 </w:instrText>
      </w:r>
      <w:r>
        <w:rPr>
          <w:rFonts w:hint="eastAsia" w:ascii="仿宋" w:hAnsi="仿宋" w:eastAsia="仿宋" w:cs="仿宋"/>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四</w:t>
      </w:r>
      <w:r>
        <w:rPr>
          <w:rFonts w:hint="eastAsia" w:ascii="仿宋" w:hAnsi="仿宋" w:eastAsia="仿宋" w:cs="仿宋"/>
          <w:highlight w:val="none"/>
        </w:rPr>
        <w:t>章 比选评审办法</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9</w:t>
      </w:r>
    </w:p>
    <w:p>
      <w:pPr>
        <w:pStyle w:val="18"/>
        <w:tabs>
          <w:tab w:val="right" w:leader="dot" w:pos="8789"/>
          <w:tab w:val="clear" w:pos="8296"/>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_Toc23746 </w:instrText>
      </w:r>
      <w:r>
        <w:rPr>
          <w:rFonts w:hint="eastAsia" w:ascii="仿宋" w:hAnsi="仿宋" w:eastAsia="仿宋" w:cs="仿宋"/>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五</w:t>
      </w:r>
      <w:r>
        <w:rPr>
          <w:rFonts w:hint="eastAsia" w:ascii="仿宋" w:hAnsi="仿宋" w:eastAsia="仿宋" w:cs="仿宋"/>
          <w:highlight w:val="none"/>
        </w:rPr>
        <w:t>章 编制比选申请文件</w:t>
      </w:r>
      <w:r>
        <w:rPr>
          <w:rFonts w:hint="eastAsia" w:ascii="仿宋" w:hAnsi="仿宋" w:eastAsia="仿宋" w:cs="仿宋"/>
          <w:highlight w:val="none"/>
        </w:rPr>
        <w:tab/>
      </w:r>
      <w:r>
        <w:rPr>
          <w:rFonts w:hint="eastAsia" w:ascii="仿宋" w:hAnsi="仿宋" w:eastAsia="仿宋" w:cs="仿宋"/>
          <w:highlight w:val="none"/>
          <w:lang w:val="en-US" w:eastAsia="zh-CN"/>
        </w:rPr>
        <w:t>1</w:t>
      </w:r>
      <w:r>
        <w:rPr>
          <w:rFonts w:hint="eastAsia" w:ascii="仿宋" w:hAnsi="仿宋" w:eastAsia="仿宋" w:cs="仿宋"/>
          <w:highlight w:val="none"/>
        </w:rPr>
        <w:fldChar w:fldCharType="end"/>
      </w:r>
      <w:r>
        <w:rPr>
          <w:rFonts w:hint="eastAsia" w:ascii="仿宋" w:hAnsi="仿宋" w:eastAsia="仿宋" w:cs="仿宋"/>
          <w:highlight w:val="none"/>
          <w:lang w:val="en-US" w:eastAsia="zh-CN"/>
        </w:rPr>
        <w:t>0</w:t>
      </w:r>
    </w:p>
    <w:p>
      <w:pPr>
        <w:pStyle w:val="21"/>
        <w:tabs>
          <w:tab w:val="right" w:leader="dot" w:pos="8789"/>
          <w:tab w:val="clear" w:pos="1695"/>
          <w:tab w:val="clear" w:pos="8280"/>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_Toc10248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一</w:t>
      </w:r>
      <w:r>
        <w:rPr>
          <w:rFonts w:hint="eastAsia" w:ascii="仿宋" w:hAnsi="仿宋" w:eastAsia="仿宋" w:cs="仿宋"/>
          <w:highlight w:val="none"/>
        </w:rPr>
        <w:t>、比选申请文件</w:t>
      </w:r>
      <w:r>
        <w:rPr>
          <w:rFonts w:hint="eastAsia" w:ascii="仿宋" w:hAnsi="仿宋" w:eastAsia="仿宋" w:cs="仿宋"/>
          <w:highlight w:val="none"/>
          <w:lang w:val="en-US" w:eastAsia="zh-CN"/>
        </w:rPr>
        <w:t>封面</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_Toc10248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lang w:val="en-US" w:eastAsia="zh-CN"/>
        </w:rPr>
        <w:t>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21"/>
        <w:tabs>
          <w:tab w:val="right" w:leader="dot" w:pos="8789"/>
          <w:tab w:val="clear" w:pos="1695"/>
          <w:tab w:val="clear" w:pos="8280"/>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_Toc22514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二</w:t>
      </w:r>
      <w:r>
        <w:rPr>
          <w:rFonts w:hint="eastAsia" w:ascii="仿宋" w:hAnsi="仿宋" w:eastAsia="仿宋" w:cs="仿宋"/>
          <w:highlight w:val="none"/>
        </w:rPr>
        <w:t>、比选报价书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_Toc22514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12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21"/>
        <w:tabs>
          <w:tab w:val="right" w:leader="dot" w:pos="8789"/>
          <w:tab w:val="clear" w:pos="1695"/>
          <w:tab w:val="clear" w:pos="8280"/>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_Toc3442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三</w:t>
      </w:r>
      <w:r>
        <w:rPr>
          <w:rFonts w:hint="eastAsia" w:ascii="仿宋" w:hAnsi="仿宋" w:eastAsia="仿宋" w:cs="仿宋"/>
          <w:highlight w:val="none"/>
        </w:rPr>
        <w:t>、授权委托书</w:t>
      </w:r>
      <w:r>
        <w:rPr>
          <w:rFonts w:hint="eastAsia" w:ascii="仿宋" w:hAnsi="仿宋" w:eastAsia="仿宋" w:cs="仿宋"/>
          <w:highlight w:val="none"/>
        </w:rPr>
        <w:tab/>
      </w:r>
      <w:r>
        <w:rPr>
          <w:rFonts w:hint="eastAsia" w:ascii="仿宋" w:hAnsi="仿宋" w:eastAsia="仿宋" w:cs="仿宋"/>
          <w:highlight w:val="none"/>
          <w:lang w:val="en-US" w:eastAsia="zh-CN"/>
        </w:rPr>
        <w:t>13</w:t>
      </w:r>
      <w:r>
        <w:rPr>
          <w:rFonts w:hint="eastAsia" w:ascii="仿宋" w:hAnsi="仿宋" w:eastAsia="仿宋" w:cs="仿宋"/>
          <w:highlight w:val="none"/>
        </w:rPr>
        <w:fldChar w:fldCharType="end"/>
      </w:r>
    </w:p>
    <w:p>
      <w:pPr>
        <w:pStyle w:val="21"/>
        <w:tabs>
          <w:tab w:val="right" w:leader="dot" w:pos="8789"/>
          <w:tab w:val="clear" w:pos="1695"/>
          <w:tab w:val="clear" w:pos="8280"/>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_Toc28140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四</w:t>
      </w:r>
      <w:r>
        <w:rPr>
          <w:rFonts w:hint="eastAsia" w:ascii="仿宋" w:hAnsi="仿宋" w:eastAsia="仿宋" w:cs="仿宋"/>
          <w:highlight w:val="none"/>
        </w:rPr>
        <w:t>、比选申请人承诺函</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14</w:t>
      </w:r>
    </w:p>
    <w:p>
      <w:pPr>
        <w:pStyle w:val="21"/>
        <w:tabs>
          <w:tab w:val="right" w:leader="dot" w:pos="8789"/>
          <w:tab w:val="clear" w:pos="1695"/>
          <w:tab w:val="clear" w:pos="8280"/>
        </w:tabs>
        <w:rPr>
          <w:rFonts w:hint="eastAsia"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_Toc10248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五</w:t>
      </w:r>
      <w:r>
        <w:rPr>
          <w:rFonts w:hint="eastAsia" w:ascii="仿宋" w:hAnsi="仿宋" w:eastAsia="仿宋" w:cs="仿宋"/>
          <w:highlight w:val="none"/>
        </w:rPr>
        <w:t>、</w:t>
      </w:r>
      <w:r>
        <w:rPr>
          <w:rFonts w:hint="eastAsia" w:ascii="仿宋" w:hAnsi="仿宋" w:eastAsia="仿宋" w:cs="仿宋"/>
          <w:sz w:val="24"/>
          <w:highlight w:val="none"/>
          <w:lang w:eastAsia="zh-CN"/>
        </w:rPr>
        <w:t>资格审查资料</w:t>
      </w:r>
      <w:r>
        <w:rPr>
          <w:rFonts w:hint="eastAsia" w:ascii="仿宋" w:hAnsi="仿宋" w:eastAsia="仿宋" w:cs="仿宋"/>
          <w:highlight w:val="none"/>
        </w:rPr>
        <w:tab/>
      </w:r>
      <w:r>
        <w:rPr>
          <w:rFonts w:hint="eastAsia" w:ascii="仿宋" w:hAnsi="仿宋" w:eastAsia="仿宋" w:cs="仿宋"/>
          <w:highlight w:val="none"/>
          <w:lang w:val="en-US" w:eastAsia="zh-CN"/>
        </w:rPr>
        <w:t>1</w:t>
      </w:r>
      <w:r>
        <w:rPr>
          <w:rFonts w:hint="eastAsia" w:ascii="仿宋" w:hAnsi="仿宋" w:eastAsia="仿宋" w:cs="仿宋"/>
          <w:highlight w:val="none"/>
        </w:rPr>
        <w:fldChar w:fldCharType="end"/>
      </w:r>
      <w:r>
        <w:rPr>
          <w:rFonts w:hint="eastAsia" w:ascii="仿宋" w:hAnsi="仿宋" w:eastAsia="仿宋" w:cs="仿宋"/>
          <w:highlight w:val="none"/>
          <w:lang w:val="en-US" w:eastAsia="zh-CN"/>
        </w:rPr>
        <w:t>5</w:t>
      </w:r>
    </w:p>
    <w:p>
      <w:pPr>
        <w:pStyle w:val="21"/>
        <w:tabs>
          <w:tab w:val="right" w:leader="dot" w:pos="8789"/>
          <w:tab w:val="clear" w:pos="1695"/>
          <w:tab w:val="clear" w:pos="8280"/>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_Toc10248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六</w:t>
      </w:r>
      <w:r>
        <w:rPr>
          <w:rFonts w:hint="eastAsia" w:ascii="仿宋" w:hAnsi="仿宋" w:eastAsia="仿宋" w:cs="仿宋"/>
          <w:highlight w:val="none"/>
        </w:rPr>
        <w:t>、</w:t>
      </w:r>
      <w:r>
        <w:rPr>
          <w:rFonts w:hint="eastAsia" w:ascii="仿宋_GB2312" w:hAnsi="仿宋_GB2312" w:eastAsia="仿宋_GB2312" w:cs="仿宋_GB2312"/>
          <w:sz w:val="24"/>
          <w:highlight w:val="none"/>
          <w:lang w:val="en-US" w:eastAsia="zh-CN"/>
        </w:rPr>
        <w:t>业绩</w:t>
      </w:r>
      <w:r>
        <w:rPr>
          <w:rFonts w:hint="eastAsia" w:ascii="仿宋" w:hAnsi="仿宋" w:eastAsia="仿宋" w:cs="仿宋"/>
          <w:highlight w:val="none"/>
        </w:rPr>
        <w:tab/>
      </w:r>
      <w:r>
        <w:rPr>
          <w:rFonts w:hint="eastAsia" w:ascii="仿宋" w:hAnsi="仿宋" w:eastAsia="仿宋" w:cs="仿宋"/>
          <w:highlight w:val="none"/>
          <w:lang w:val="en-US" w:eastAsia="zh-CN"/>
        </w:rPr>
        <w:t>1</w:t>
      </w:r>
      <w:r>
        <w:rPr>
          <w:rFonts w:hint="eastAsia" w:ascii="仿宋" w:hAnsi="仿宋" w:eastAsia="仿宋" w:cs="仿宋"/>
          <w:highlight w:val="none"/>
        </w:rPr>
        <w:fldChar w:fldCharType="end"/>
      </w:r>
      <w:r>
        <w:rPr>
          <w:rFonts w:hint="eastAsia" w:ascii="仿宋" w:hAnsi="仿宋" w:eastAsia="仿宋" w:cs="仿宋"/>
          <w:highlight w:val="none"/>
          <w:lang w:val="en-US" w:eastAsia="zh-CN"/>
        </w:rPr>
        <w:t>6</w:t>
      </w:r>
    </w:p>
    <w:p>
      <w:pPr>
        <w:pStyle w:val="21"/>
        <w:tabs>
          <w:tab w:val="right" w:leader="dot" w:pos="8789"/>
          <w:tab w:val="clear" w:pos="1695"/>
          <w:tab w:val="clear" w:pos="8280"/>
        </w:tabs>
        <w:rPr>
          <w:rFonts w:hint="default"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_Toc10248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七</w:t>
      </w:r>
      <w:r>
        <w:rPr>
          <w:rFonts w:hint="eastAsia" w:ascii="仿宋" w:hAnsi="仿宋" w:eastAsia="仿宋" w:cs="仿宋"/>
          <w:highlight w:val="none"/>
        </w:rPr>
        <w:t>、</w:t>
      </w:r>
      <w:r>
        <w:rPr>
          <w:rFonts w:hint="eastAsia" w:ascii="仿宋" w:hAnsi="仿宋" w:eastAsia="仿宋" w:cs="仿宋"/>
          <w:highlight w:val="none"/>
          <w:lang w:val="en-US" w:eastAsia="zh-CN"/>
        </w:rPr>
        <w:t>检修措施</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17</w:t>
      </w:r>
    </w:p>
    <w:p>
      <w:pPr>
        <w:pStyle w:val="21"/>
        <w:tabs>
          <w:tab w:val="right" w:leader="dot" w:pos="8789"/>
          <w:tab w:val="clear" w:pos="1695"/>
          <w:tab w:val="clear" w:pos="8280"/>
        </w:tabs>
        <w:rPr>
          <w:rFonts w:hint="eastAsia"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_Toc10248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八</w:t>
      </w:r>
      <w:r>
        <w:rPr>
          <w:rFonts w:hint="eastAsia" w:ascii="仿宋" w:hAnsi="仿宋" w:eastAsia="仿宋" w:cs="仿宋"/>
          <w:highlight w:val="none"/>
        </w:rPr>
        <w:t>、</w:t>
      </w:r>
      <w:r>
        <w:rPr>
          <w:rFonts w:hint="eastAsia" w:ascii="仿宋_GB2312" w:hAnsi="仿宋_GB2312" w:eastAsia="仿宋_GB2312" w:cs="仿宋_GB2312"/>
          <w:sz w:val="24"/>
          <w:highlight w:val="none"/>
          <w:lang w:val="en-US" w:eastAsia="zh-CN"/>
        </w:rPr>
        <w:t>安全文明施工管理</w:t>
      </w:r>
      <w:r>
        <w:rPr>
          <w:rFonts w:hint="eastAsia" w:ascii="仿宋" w:hAnsi="仿宋" w:eastAsia="仿宋" w:cs="仿宋"/>
          <w:highlight w:val="none"/>
          <w:lang w:val="en-US" w:eastAsia="zh-CN"/>
        </w:rPr>
        <w:t xml:space="preserve"> </w:t>
      </w:r>
      <w:r>
        <w:rPr>
          <w:rFonts w:hint="eastAsia" w:ascii="仿宋" w:hAnsi="仿宋" w:eastAsia="仿宋" w:cs="仿宋"/>
          <w:highlight w:val="none"/>
        </w:rPr>
        <w:tab/>
      </w:r>
      <w:r>
        <w:rPr>
          <w:rFonts w:hint="eastAsia" w:ascii="仿宋" w:hAnsi="仿宋" w:eastAsia="仿宋" w:cs="仿宋"/>
          <w:highlight w:val="none"/>
          <w:lang w:val="en-US" w:eastAsia="zh-CN"/>
        </w:rPr>
        <w:t>1</w:t>
      </w:r>
      <w:r>
        <w:rPr>
          <w:rFonts w:hint="eastAsia" w:ascii="仿宋" w:hAnsi="仿宋" w:eastAsia="仿宋" w:cs="仿宋"/>
          <w:highlight w:val="none"/>
        </w:rPr>
        <w:fldChar w:fldCharType="end"/>
      </w:r>
      <w:r>
        <w:rPr>
          <w:rFonts w:hint="eastAsia" w:ascii="仿宋" w:hAnsi="仿宋" w:eastAsia="仿宋" w:cs="仿宋"/>
          <w:highlight w:val="none"/>
          <w:lang w:val="en-US" w:eastAsia="zh-CN"/>
        </w:rPr>
        <w:t>8</w:t>
      </w:r>
    </w:p>
    <w:p>
      <w:pPr>
        <w:rPr>
          <w:rFonts w:hint="eastAsia"/>
        </w:rPr>
      </w:pPr>
    </w:p>
    <w:p>
      <w:pPr>
        <w:rPr>
          <w:rFonts w:hint="eastAsia" w:asciiTheme="minorEastAsia" w:hAnsiTheme="minorEastAsia" w:eastAsiaTheme="minorEastAsia" w:cstheme="minorEastAsia"/>
          <w:highlight w:val="none"/>
        </w:rPr>
      </w:pPr>
      <w:r>
        <w:rPr>
          <w:rFonts w:hint="eastAsia" w:ascii="仿宋" w:hAnsi="仿宋" w:eastAsia="仿宋" w:cs="仿宋"/>
          <w:highlight w:val="none"/>
        </w:rPr>
        <w:fldChar w:fldCharType="end"/>
      </w:r>
    </w:p>
    <w:p>
      <w:pPr>
        <w:pStyle w:val="23"/>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pStyle w:val="23"/>
        <w:rPr>
          <w:rFonts w:hint="eastAsia" w:asciiTheme="minorEastAsia" w:hAnsiTheme="minorEastAsia" w:eastAsiaTheme="minorEastAsia" w:cstheme="minorEastAsia"/>
          <w:highlight w:val="none"/>
        </w:rPr>
      </w:pPr>
    </w:p>
    <w:p>
      <w:pPr>
        <w:pStyle w:val="23"/>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outlineLvl w:val="9"/>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pStyle w:val="23"/>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pStyle w:val="23"/>
        <w:rPr>
          <w:rFonts w:hint="eastAsia" w:asciiTheme="minorEastAsia" w:hAnsiTheme="minorEastAsia" w:eastAsiaTheme="minorEastAsia" w:cstheme="minorEastAsia"/>
          <w:highlight w:val="none"/>
        </w:rPr>
      </w:pPr>
    </w:p>
    <w:p>
      <w:pPr>
        <w:rPr>
          <w:rFonts w:hint="eastAsia" w:asciiTheme="minorEastAsia" w:hAnsiTheme="minorEastAsia" w:eastAsiaTheme="minorEastAsia" w:cstheme="minorEastAsia"/>
          <w:highlight w:val="none"/>
        </w:rPr>
      </w:pPr>
    </w:p>
    <w:p>
      <w:pPr>
        <w:pStyle w:val="23"/>
        <w:rPr>
          <w:rFonts w:hint="eastAsia" w:asciiTheme="minorEastAsia" w:hAnsiTheme="minorEastAsia" w:eastAsiaTheme="minorEastAsia" w:cstheme="minorEastAsia"/>
          <w:highlight w:val="none"/>
        </w:rPr>
      </w:pPr>
    </w:p>
    <w:p>
      <w:pPr>
        <w:pStyle w:val="4"/>
        <w:numPr>
          <w:ilvl w:val="0"/>
          <w:numId w:val="0"/>
        </w:numPr>
        <w:spacing w:line="360" w:lineRule="auto"/>
        <w:ind w:leftChars="0"/>
        <w:jc w:val="both"/>
        <w:rPr>
          <w:rFonts w:hint="eastAsia" w:asciiTheme="minorEastAsia" w:hAnsiTheme="minorEastAsia" w:eastAsiaTheme="minorEastAsia" w:cstheme="minorEastAsia"/>
          <w:highlight w:val="none"/>
        </w:rPr>
        <w:sectPr>
          <w:headerReference r:id="rId4" w:type="first"/>
          <w:headerReference r:id="rId3" w:type="default"/>
          <w:footerReference r:id="rId5" w:type="default"/>
          <w:pgSz w:w="11906" w:h="16838"/>
          <w:pgMar w:top="1304" w:right="1196" w:bottom="1304" w:left="1797" w:header="851" w:footer="992" w:gutter="0"/>
          <w:cols w:space="425" w:num="1"/>
          <w:titlePg/>
          <w:docGrid w:type="lines" w:linePitch="312" w:charSpace="0"/>
        </w:sectPr>
      </w:pPr>
      <w:bookmarkStart w:id="4" w:name="_Toc10013"/>
    </w:p>
    <w:p>
      <w:pPr>
        <w:pStyle w:val="4"/>
        <w:numPr>
          <w:ilvl w:val="0"/>
          <w:numId w:val="4"/>
        </w:numPr>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比选公告</w:t>
      </w:r>
      <w:bookmarkEnd w:id="4"/>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川投（达州）燃气发电有限公司（以下简称“比选人”）拟通过公开比选方式选聘220kV升压站#1主变间隔、#2主变间隔、启备变间隔、母联间隔、燃州线间隔以及燃化线间隔悬式绝缘子、耐张绝缘子检修服务单位，欢迎符合资质条件的检修单位参加比选活动。</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一、概况</w:t>
      </w:r>
    </w:p>
    <w:p>
      <w:pPr>
        <w:spacing w:line="400" w:lineRule="exact"/>
        <w:ind w:firstLine="420"/>
        <w:rPr>
          <w:rFonts w:hint="eastAsia" w:ascii="仿宋_GB2312" w:hAnsi="仿宋_GB2312" w:eastAsia="仿宋_GB2312" w:cs="仿宋_GB2312"/>
          <w:bCs/>
          <w:sz w:val="24"/>
          <w:highlight w:val="none"/>
          <w:lang w:val="en-US" w:eastAsia="zh-CN"/>
        </w:rPr>
      </w:pPr>
      <w:bookmarkStart w:id="5" w:name="_Toc19002"/>
      <w:r>
        <w:rPr>
          <w:rFonts w:hint="eastAsia" w:ascii="仿宋_GB2312" w:hAnsi="仿宋_GB2312" w:eastAsia="仿宋_GB2312" w:cs="仿宋_GB2312"/>
          <w:bCs/>
          <w:sz w:val="24"/>
          <w:highlight w:val="none"/>
          <w:lang w:val="en-US" w:eastAsia="zh-CN"/>
        </w:rPr>
        <w:t>（一）川投（达州）燃气发电有限公司位于四川省达州市高新区斌郎街道桥坝社区，距达州市城南主城区约12km。</w:t>
      </w:r>
      <w:bookmarkEnd w:id="5"/>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（二）达州燃气电站220kV升压站一共有7个间隔,分别是：燃化一线间隔、燃化二线间隔、#1主变间隔、启备变间隔、#2主变间隔、燃州线间隔、母联间隔其中耐张绝缘子共计30串、悬式18串总共747片。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 #1主变、#2主变本体至升压站门构型架共12串耐张绝缘子、12串悬式绝缘子，每串18片绝缘子一共432片。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（四）启备变本体至升压站门型构架一共6串耐张、6串悬式绝缘子每串18片一共216片。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（五）在厂内内设置3个盐密、灰密测试取样点，每个样瓶由3串瓷质绝缘子组成，3个取样点。 </w:t>
      </w:r>
    </w:p>
    <w:p>
      <w:pPr>
        <w:spacing w:line="400" w:lineRule="exact"/>
        <w:ind w:firstLine="420"/>
        <w:rPr>
          <w:rFonts w:hint="default"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二、检修内容</w:t>
      </w:r>
    </w:p>
    <w:p>
      <w:pPr>
        <w:spacing w:line="400" w:lineRule="exact"/>
        <w:ind w:firstLine="420"/>
        <w:rPr>
          <w:rFonts w:hint="eastAsia"/>
          <w:lang w:val="en-US" w:eastAsia="zh-CN"/>
        </w:rPr>
      </w:pPr>
      <w:r>
        <w:rPr>
          <w:rFonts w:hint="eastAsia" w:ascii="仿宋_GB2312" w:hAnsi="仿宋_GB2312" w:eastAsia="仿宋_GB2312" w:cs="仿宋_GB2312"/>
          <w:bCs/>
          <w:sz w:val="24"/>
          <w:highlight w:val="none"/>
          <w:lang w:val="en-US" w:eastAsia="zh-CN"/>
        </w:rPr>
        <w:t>详见：《川投(达州）燃气发电有限公司220kV升压站#1主变间隔、#2主变间隔、启备变间隔、母联间隔、燃州线间隔、燃化线间隔悬式绝缘子、耐张绝缘子检修技术规范书》。</w:t>
      </w:r>
    </w:p>
    <w:p>
      <w:pPr>
        <w:numPr>
          <w:ilvl w:val="0"/>
          <w:numId w:val="5"/>
        </w:numPr>
        <w:spacing w:line="400" w:lineRule="exact"/>
        <w:ind w:firstLine="482" w:firstLineChars="200"/>
        <w:rPr>
          <w:rFonts w:hint="eastAsia" w:ascii="仿宋_GB2312" w:hAnsi="仿宋_GB2312" w:eastAsia="仿宋_GB2312" w:cs="仿宋_GB2312"/>
          <w:b/>
          <w:bCs w:val="0"/>
          <w:sz w:val="24"/>
          <w:highlight w:val="none"/>
          <w:lang w:val="en-US" w:eastAsia="zh-CN"/>
        </w:rPr>
      </w:pPr>
      <w:bookmarkStart w:id="6" w:name="_Toc24537"/>
      <w:bookmarkStart w:id="7" w:name="_Toc479743270"/>
      <w:bookmarkStart w:id="8" w:name="_Toc479744311"/>
      <w:bookmarkStart w:id="9" w:name="_Toc479776146"/>
      <w:r>
        <w:rPr>
          <w:rFonts w:hint="eastAsia" w:ascii="仿宋_GB2312" w:hAnsi="仿宋_GB2312" w:eastAsia="仿宋_GB2312" w:cs="仿宋_GB2312"/>
          <w:b/>
          <w:bCs w:val="0"/>
          <w:sz w:val="24"/>
          <w:highlight w:val="none"/>
          <w:lang w:val="en-US" w:eastAsia="zh-CN"/>
        </w:rPr>
        <w:t>检修质量标准及验收依据</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详见：《川投(达州）燃气发电有限公司220kV升压站#1主变间隔、#2主变间隔、启备变间隔、母联间隔、燃州线间隔、燃化线间隔悬式绝缘子、耐张绝缘子检修技术规范书》。</w:t>
      </w:r>
    </w:p>
    <w:bookmarkEnd w:id="6"/>
    <w:p>
      <w:pPr>
        <w:numPr>
          <w:ilvl w:val="0"/>
          <w:numId w:val="0"/>
        </w:numPr>
        <w:spacing w:line="400" w:lineRule="exact"/>
        <w:ind w:firstLine="482" w:firstLineChars="20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四、检修时间</w:t>
      </w:r>
    </w:p>
    <w:p>
      <w:pPr>
        <w:numPr>
          <w:ilvl w:val="0"/>
          <w:numId w:val="0"/>
        </w:numPr>
        <w:spacing w:line="400" w:lineRule="exact"/>
        <w:ind w:firstLine="480" w:firstLineChars="2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工期预计14天，满足停电条件后，由比选人提前3天通知比选申请人，2天内达到开工条件。</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五、检修地点</w:t>
      </w:r>
    </w:p>
    <w:bookmarkEnd w:id="7"/>
    <w:bookmarkEnd w:id="8"/>
    <w:bookmarkEnd w:id="9"/>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四川省达州市高新区斌郎街道桥坝社区7组，川投(达州)燃气发电有限公司生产线。</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六、对比选申请人的资格要求</w:t>
      </w:r>
    </w:p>
    <w:p>
      <w:pPr>
        <w:spacing w:line="400" w:lineRule="exact"/>
        <w:ind w:firstLine="420"/>
        <w:rPr>
          <w:rFonts w:hint="eastAsia" w:ascii="仿宋_GB2312" w:hAnsi="仿宋_GB2312" w:eastAsia="仿宋_GB2312" w:cs="仿宋_GB2312"/>
          <w:bCs/>
          <w:sz w:val="24"/>
          <w:highlight w:val="none"/>
          <w:lang w:val="en-US" w:eastAsia="zh-CN"/>
        </w:rPr>
      </w:pPr>
      <w:bookmarkStart w:id="10" w:name="_Toc11603"/>
      <w:r>
        <w:rPr>
          <w:rFonts w:hint="eastAsia" w:ascii="仿宋_GB2312" w:hAnsi="仿宋_GB2312" w:eastAsia="仿宋_GB2312" w:cs="仿宋_GB2312"/>
          <w:bCs/>
          <w:sz w:val="24"/>
          <w:highlight w:val="none"/>
          <w:lang w:val="en-US" w:eastAsia="zh-CN"/>
        </w:rPr>
        <w:t>（一）比选申请人具备独立法人资格，在中华人民共和国境内依法注册的法人或其他组织。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（二）比选申请人具备电力工程承装、承修、承试二级及以上资质证书。</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（三）比选申请人具备3份及以上220kV输电线路检修业绩或升压站检修业绩。</w:t>
      </w:r>
    </w:p>
    <w:p>
      <w:pPr>
        <w:spacing w:line="400" w:lineRule="exact"/>
        <w:ind w:firstLine="420"/>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（四）比选申请人具备安全生产许可证。</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（五）本项目不接受联合体参选，严禁分包及转包。</w:t>
      </w:r>
    </w:p>
    <w:bookmarkEnd w:id="10"/>
    <w:p>
      <w:pPr>
        <w:spacing w:line="400" w:lineRule="exact"/>
        <w:ind w:firstLine="420"/>
        <w:rPr>
          <w:rFonts w:hint="default"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七、比选文件的获取</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（一）凡有意愿参加比选者，请于2024年2月2日至2月21日，在天府阳光采购服务平台（网址http://www.tfygcgfw.com/）注册并获取比选资料。</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（二）发布公告的媒介：</w:t>
      </w:r>
      <w:r>
        <w:rPr>
          <w:rFonts w:hint="eastAsia" w:ascii="仿宋_GB2312" w:eastAsia="仿宋_GB2312"/>
          <w:color w:val="auto"/>
          <w:sz w:val="24"/>
          <w:highlight w:val="none"/>
        </w:rPr>
        <w:t>本次比选公告在</w:t>
      </w:r>
      <w:r>
        <w:rPr>
          <w:rFonts w:hint="eastAsia" w:ascii="仿宋_GB2312" w:hAnsi="仿宋_GB2312" w:eastAsia="仿宋_GB2312" w:cs="仿宋_GB2312"/>
          <w:bCs/>
          <w:sz w:val="24"/>
          <w:highlight w:val="none"/>
          <w:lang w:val="en-US" w:eastAsia="zh-CN"/>
        </w:rPr>
        <w:t>天府阳光采购服务平台（网址http://www.tfygcgfw.com/）川投集团外网（网址：</w:t>
      </w:r>
      <w:r>
        <w:rPr>
          <w:rFonts w:hint="eastAsia" w:ascii="仿宋_GB2312" w:hAnsi="仿宋_GB2312" w:eastAsia="仿宋_GB2312" w:cs="仿宋_GB2312"/>
          <w:bCs/>
          <w:sz w:val="24"/>
          <w:highlight w:val="none"/>
          <w:lang w:val="en-US" w:eastAsia="zh-CN"/>
        </w:rPr>
        <w:fldChar w:fldCharType="begin"/>
      </w:r>
      <w:r>
        <w:rPr>
          <w:rFonts w:hint="eastAsia" w:ascii="仿宋_GB2312" w:hAnsi="仿宋_GB2312" w:eastAsia="仿宋_GB2312" w:cs="仿宋_GB2312"/>
          <w:bCs/>
          <w:sz w:val="24"/>
          <w:highlight w:val="none"/>
          <w:lang w:val="en-US" w:eastAsia="zh-CN"/>
        </w:rPr>
        <w:instrText xml:space="preserve"> HYPERLINK "http://www.invest.com." </w:instrText>
      </w:r>
      <w:r>
        <w:rPr>
          <w:rFonts w:hint="eastAsia" w:ascii="仿宋_GB2312" w:hAnsi="仿宋_GB2312" w:eastAsia="仿宋_GB2312" w:cs="仿宋_GB2312"/>
          <w:bCs/>
          <w:sz w:val="24"/>
          <w:highlight w:val="none"/>
          <w:lang w:val="en-US" w:eastAsia="zh-CN"/>
        </w:rPr>
        <w:fldChar w:fldCharType="separate"/>
      </w:r>
      <w:r>
        <w:rPr>
          <w:rFonts w:hint="eastAsia" w:ascii="仿宋_GB2312" w:hAnsi="仿宋_GB2312" w:eastAsia="仿宋_GB2312" w:cs="仿宋_GB2312"/>
          <w:bCs/>
          <w:sz w:val="24"/>
          <w:highlight w:val="none"/>
          <w:lang w:val="en-US" w:eastAsia="zh-CN"/>
        </w:rPr>
        <w:t>http://www.invest.com.</w:t>
      </w:r>
      <w:r>
        <w:rPr>
          <w:rFonts w:hint="eastAsia" w:ascii="仿宋_GB2312" w:hAnsi="仿宋_GB2312" w:eastAsia="仿宋_GB2312" w:cs="仿宋_GB2312"/>
          <w:bCs/>
          <w:sz w:val="24"/>
          <w:highlight w:val="none"/>
          <w:lang w:val="en-US" w:eastAsia="zh-CN"/>
        </w:rPr>
        <w:fldChar w:fldCharType="end"/>
      </w:r>
      <w:r>
        <w:rPr>
          <w:rFonts w:hint="eastAsia" w:ascii="仿宋_GB2312" w:hAnsi="仿宋_GB2312" w:eastAsia="仿宋_GB2312" w:cs="仿宋_GB2312"/>
          <w:bCs/>
          <w:sz w:val="24"/>
          <w:highlight w:val="none"/>
          <w:lang w:val="en-US" w:eastAsia="zh-CN"/>
        </w:rPr>
        <w:t>cn/）、达州气电外网（https://ctqd.invest.com.cn/）上发布。</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八、递交比选申请文件截止时间及地点</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（一）比选申请文件的递交截止时间为2024年2月26日下午14:30 时，比选申请文件必须在此规定时间之前专人送达达州市高新区斌郎街道桥坝社区7组川投（达州）燃气发电有限公司办公楼经营发展部4楼404室。比选申请文件正本一套，副本一套，电子文档1份（加盖鲜章pdf扫描件）。迟到的比选申请文件、未按照要求密封的比选申请文件，比选人予以拒收。</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本项目接受比选申请人以邮寄比选申请文件的方式参加比选，比选申请人在比选申请文件递交截止时间前将比选申请文件寄至达州市高新区斌郎街道桥坝社区7组川投（达州）燃气发电有限公司经营发展部，时间以比选人签收时间为准。比选申请人以邮寄比选申请文件的方式参加比选的，须随比选申请文件单独另附一份关于不到场的承诺，承诺的内容须包含比选申请人自愿不到场参加比选活动且对本项目开标、评标的流程、结果无异议，如不另附此承诺，比选人有权拒收比选申请文件，后果由比选申请人自行承担。</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人定于北京时间2024年2月26日下午14:30时在达州市高新区斌郎街道桥坝社区7组川投（达州）燃气发电有限公司办公楼4楼会议室举行比选申请文件开启仪式，比选人邀请已递交比选申请文件的服务单位到现场监督，服务单位法定代表人或授权代理人应当对本单位递交的比选申请文件开启情况签字确认。</w:t>
      </w:r>
    </w:p>
    <w:p>
      <w:pPr>
        <w:spacing w:line="400" w:lineRule="exact"/>
        <w:ind w:firstLine="420"/>
        <w:rPr>
          <w:rFonts w:hint="eastAsia" w:ascii="仿宋_GB2312" w:hAnsi="仿宋_GB2312" w:eastAsia="仿宋_GB2312" w:cs="仿宋_GB2312"/>
          <w:b/>
          <w:bCs w:val="0"/>
          <w:i w:val="0"/>
          <w:iCs w:val="0"/>
          <w:sz w:val="24"/>
          <w:highlight w:val="none"/>
          <w:lang w:val="en-US" w:eastAsia="zh-CN"/>
        </w:rPr>
      </w:pPr>
      <w:r>
        <w:rPr>
          <w:rFonts w:hint="eastAsia" w:ascii="仿宋_GB2312" w:hAnsi="仿宋_GB2312" w:eastAsia="仿宋_GB2312" w:cs="仿宋_GB2312"/>
          <w:b/>
          <w:bCs w:val="0"/>
          <w:i w:val="0"/>
          <w:iCs w:val="0"/>
          <w:sz w:val="24"/>
          <w:highlight w:val="none"/>
          <w:lang w:val="en-US" w:eastAsia="zh-CN"/>
        </w:rPr>
        <w:t>九、联系方式</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 选 人： 川投（达州）燃气发电有限公司</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地    址： 达州市高新区斌郎街道桥坝社区7组川投（达州）燃气发电有限公司办公楼4楼404室。</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邮政编码： 635000             </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联 系 人： 张先生</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联系电话： 0818-3331166                                   </w:t>
      </w:r>
    </w:p>
    <w:p>
      <w:pPr>
        <w:spacing w:line="400" w:lineRule="exact"/>
        <w:ind w:firstLine="420"/>
        <w:jc w:val="right"/>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2024年2月1日</w:t>
      </w:r>
    </w:p>
    <w:p>
      <w:pPr>
        <w:spacing w:line="400" w:lineRule="exact"/>
        <w:ind w:firstLine="420"/>
        <w:jc w:val="right"/>
        <w:rPr>
          <w:rFonts w:hint="eastAsia" w:ascii="仿宋_GB2312" w:hAnsi="仿宋_GB2312" w:eastAsia="仿宋_GB2312" w:cs="仿宋_GB2312"/>
          <w:bCs/>
          <w:sz w:val="24"/>
          <w:highlight w:val="none"/>
          <w:lang w:val="en-US" w:eastAsia="zh-CN"/>
        </w:rPr>
      </w:pPr>
    </w:p>
    <w:p>
      <w:pPr>
        <w:pStyle w:val="9"/>
        <w:ind w:left="0" w:leftChars="0" w:firstLine="0" w:firstLineChars="0"/>
        <w:rPr>
          <w:rFonts w:hint="eastAsia" w:ascii="仿宋_GB2312" w:hAnsi="仿宋_GB2312" w:eastAsia="仿宋_GB2312" w:cs="仿宋_GB2312"/>
          <w:bCs/>
          <w:sz w:val="24"/>
          <w:highlight w:val="none"/>
          <w:lang w:val="en-US" w:eastAsia="zh-CN"/>
        </w:rPr>
      </w:pPr>
      <w:bookmarkStart w:id="11" w:name="_Toc9085"/>
      <w:bookmarkStart w:id="12" w:name="_Toc109212565"/>
    </w:p>
    <w:p>
      <w:pPr>
        <w:pStyle w:val="4"/>
        <w:numPr>
          <w:ilvl w:val="0"/>
          <w:numId w:val="0"/>
        </w:numPr>
        <w:spacing w:line="360" w:lineRule="auto"/>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第二章 </w:t>
      </w:r>
      <w:r>
        <w:rPr>
          <w:rFonts w:hint="eastAsia" w:asciiTheme="minorEastAsia" w:hAnsiTheme="minorEastAsia" w:eastAsiaTheme="minorEastAsia" w:cstheme="minorEastAsia"/>
          <w:highlight w:val="none"/>
        </w:rPr>
        <w:t>比选申请人资格要求</w:t>
      </w:r>
      <w:bookmarkEnd w:id="11"/>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本次比选采用天府阳光采购平台注册报名的方式，为证实比选申请人具有完成工作的资格和能力，比选申请人应当符合以下条件，随比选申请文件提供相应的证明文件：</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（一）比选申请人具备独立法人资格，在中华人民共和国境内依法注册的法人或其他组织。（</w:t>
      </w:r>
      <w:r>
        <w:rPr>
          <w:rFonts w:hint="eastAsia" w:ascii="仿宋_GB2312" w:hAnsi="仿宋_GB2312" w:eastAsia="仿宋_GB2312" w:cs="仿宋_GB2312"/>
          <w:bCs/>
          <w:sz w:val="24"/>
          <w:highlight w:val="none"/>
          <w:u w:val="single"/>
          <w:lang w:val="en-US" w:eastAsia="zh-CN"/>
        </w:rPr>
        <w:t>提供有效的营业执照或事业法人登记证书复印件并加盖公司印章</w:t>
      </w:r>
      <w:r>
        <w:rPr>
          <w:rFonts w:hint="eastAsia" w:ascii="仿宋_GB2312" w:hAnsi="仿宋_GB2312" w:eastAsia="仿宋_GB2312" w:cs="仿宋_GB2312"/>
          <w:bCs/>
          <w:sz w:val="24"/>
          <w:highlight w:val="none"/>
          <w:lang w:val="en-US" w:eastAsia="zh-CN"/>
        </w:rPr>
        <w:t>）；</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（二）比选申请人具备电力工程承装、承修、承试二级及以上资质证书。（</w:t>
      </w:r>
      <w:r>
        <w:rPr>
          <w:rFonts w:hint="eastAsia" w:ascii="仿宋_GB2312" w:hAnsi="仿宋_GB2312" w:eastAsia="仿宋_GB2312" w:cs="仿宋_GB2312"/>
          <w:bCs/>
          <w:sz w:val="24"/>
          <w:highlight w:val="none"/>
          <w:u w:val="single"/>
          <w:lang w:val="en-US" w:eastAsia="zh-CN"/>
        </w:rPr>
        <w:t>提供电力工程承装、承修、承试二级及以上资质证书复印件并加盖公司印章</w:t>
      </w:r>
      <w:r>
        <w:rPr>
          <w:rFonts w:hint="eastAsia" w:ascii="仿宋_GB2312" w:hAnsi="仿宋_GB2312" w:eastAsia="仿宋_GB2312" w:cs="仿宋_GB2312"/>
          <w:bCs/>
          <w:sz w:val="24"/>
          <w:highlight w:val="none"/>
          <w:lang w:val="en-US" w:eastAsia="zh-CN"/>
        </w:rPr>
        <w:t>）；</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（三）比选申请人具备3份及以上220kV输电线路检修业绩或升压站检修业绩。（</w:t>
      </w:r>
      <w:r>
        <w:rPr>
          <w:rFonts w:hint="eastAsia" w:ascii="仿宋_GB2312" w:hAnsi="仿宋_GB2312" w:eastAsia="仿宋_GB2312" w:cs="仿宋_GB2312"/>
          <w:bCs/>
          <w:sz w:val="24"/>
          <w:highlight w:val="none"/>
          <w:u w:val="single"/>
          <w:lang w:val="en-US" w:eastAsia="zh-CN"/>
        </w:rPr>
        <w:t>必须提供3份及以上220kV输电线路检修业绩或升压站检修业绩。提供合同扫描件并加盖公司印章，合同扫描件应包括封面、签字页及能显示项目名称和内容部分，否则视同没提供该业绩。</w:t>
      </w:r>
      <w:r>
        <w:rPr>
          <w:rFonts w:hint="eastAsia" w:ascii="仿宋_GB2312" w:hAnsi="仿宋_GB2312" w:eastAsia="仿宋_GB2312" w:cs="仿宋_GB2312"/>
          <w:bCs/>
          <w:sz w:val="24"/>
          <w:highlight w:val="none"/>
          <w:lang w:val="en-US" w:eastAsia="zh-CN"/>
        </w:rPr>
        <w:t>）</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（四）比选申请人具备安全生产许可证。（提供安全生产许可证复印件</w:t>
      </w:r>
      <w:r>
        <w:rPr>
          <w:rFonts w:hint="eastAsia" w:ascii="仿宋_GB2312" w:hAnsi="仿宋_GB2312" w:eastAsia="仿宋_GB2312" w:cs="仿宋_GB2312"/>
          <w:bCs/>
          <w:sz w:val="24"/>
          <w:highlight w:val="none"/>
          <w:u w:val="single"/>
          <w:lang w:val="en-US" w:eastAsia="zh-CN"/>
        </w:rPr>
        <w:t>并加盖公司印章</w:t>
      </w:r>
      <w:r>
        <w:rPr>
          <w:rFonts w:hint="eastAsia" w:ascii="仿宋_GB2312" w:hAnsi="仿宋_GB2312" w:eastAsia="仿宋_GB2312" w:cs="仿宋_GB2312"/>
          <w:bCs/>
          <w:sz w:val="24"/>
          <w:highlight w:val="none"/>
          <w:lang w:val="en-US" w:eastAsia="zh-CN"/>
        </w:rPr>
        <w:t>）</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（五）本项目不接受联合体参选，严禁分包及转包。</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br w:type="page"/>
      </w:r>
    </w:p>
    <w:p>
      <w:pPr>
        <w:pStyle w:val="4"/>
        <w:numPr>
          <w:ilvl w:val="0"/>
          <w:numId w:val="0"/>
        </w:numPr>
        <w:spacing w:line="360" w:lineRule="auto"/>
        <w:ind w:leftChars="0"/>
        <w:jc w:val="center"/>
        <w:rPr>
          <w:rFonts w:hint="eastAsia" w:asciiTheme="minorEastAsia" w:hAnsiTheme="minorEastAsia" w:eastAsiaTheme="minorEastAsia" w:cstheme="minorEastAsia"/>
          <w:highlight w:val="none"/>
        </w:rPr>
      </w:pPr>
      <w:bookmarkStart w:id="13" w:name="_Toc118"/>
      <w:r>
        <w:rPr>
          <w:rFonts w:hint="eastAsia" w:asciiTheme="minorEastAsia" w:hAnsiTheme="minorEastAsia" w:eastAsiaTheme="minorEastAsia" w:cstheme="minorEastAsia"/>
          <w:highlight w:val="none"/>
          <w:lang w:val="en-US" w:eastAsia="zh-CN"/>
        </w:rPr>
        <w:t xml:space="preserve">第三章 </w:t>
      </w:r>
      <w:r>
        <w:rPr>
          <w:rFonts w:hint="eastAsia" w:asciiTheme="minorEastAsia" w:hAnsiTheme="minorEastAsia" w:eastAsiaTheme="minorEastAsia" w:cstheme="minorEastAsia"/>
          <w:highlight w:val="none"/>
        </w:rPr>
        <w:t>比选申请人须知</w:t>
      </w:r>
      <w:bookmarkEnd w:id="12"/>
      <w:bookmarkEnd w:id="13"/>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220kV升压站#1主变间隔、#2主变间隔、启备变间隔、母联间隔、燃州线间隔以及燃化线间隔悬式绝缘子、耐张绝缘子检修选聘服务单位，从通过比选采购确定检修单位与比选人签订合同起，至检修单位检修设备合格后结束。</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二、</w:t>
      </w:r>
      <w:bookmarkStart w:id="14" w:name="_Toc355875834"/>
      <w:bookmarkStart w:id="15" w:name="_Toc355712550"/>
      <w:bookmarkStart w:id="16" w:name="_Toc355860709"/>
      <w:bookmarkStart w:id="17" w:name="_Toc355712333"/>
      <w:bookmarkStart w:id="18" w:name="_Toc355712663"/>
      <w:bookmarkStart w:id="19" w:name="_Toc355713694"/>
      <w:bookmarkStart w:id="20" w:name="_Toc355792436"/>
      <w:r>
        <w:rPr>
          <w:rFonts w:hint="eastAsia" w:ascii="仿宋_GB2312" w:hAnsi="仿宋_GB2312" w:eastAsia="仿宋_GB2312" w:cs="仿宋_GB2312"/>
          <w:b/>
          <w:bCs w:val="0"/>
          <w:sz w:val="24"/>
          <w:highlight w:val="none"/>
          <w:lang w:val="en-US" w:eastAsia="zh-CN"/>
        </w:rPr>
        <w:t>概况</w:t>
      </w:r>
      <w:bookmarkEnd w:id="14"/>
      <w:bookmarkEnd w:id="15"/>
      <w:bookmarkEnd w:id="16"/>
      <w:bookmarkEnd w:id="17"/>
      <w:bookmarkEnd w:id="18"/>
      <w:bookmarkEnd w:id="19"/>
      <w:bookmarkEnd w:id="20"/>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（一）川投（达州）燃气发电有限公司位于四川省达州市高新区斌郎街道桥坝社区，距达州市城南主城区约12km。</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（二）达州燃气电站220kV升压站一共有7个间隔,分别是：燃化一线间隔、燃化二线间隔、#1主变间隔、启备变间隔、#2主变间隔、燃州线间隔、母联间隔其中耐张绝缘子共计30串、悬式18串总共747片。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 #1主变、#2主变本体至升压站门构型架共12串耐张绝缘子、12串悬式绝缘子，每串18片绝缘子一共432片。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（四）启备变本体至升压站门型构架一共6串耐张、6串悬式绝缘子每串18片一共216片。</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（五）在厂内内设置3个盐密、灰密测试取样点，每个样瓶由3串瓷质绝缘子组成，3个取样点。  </w:t>
      </w:r>
    </w:p>
    <w:p>
      <w:pPr>
        <w:spacing w:line="400" w:lineRule="exact"/>
        <w:ind w:firstLine="420"/>
        <w:rPr>
          <w:rFonts w:hint="default"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三、检修内容</w:t>
      </w:r>
    </w:p>
    <w:p>
      <w:pPr>
        <w:spacing w:line="400" w:lineRule="exact"/>
        <w:ind w:firstLine="420"/>
        <w:rPr>
          <w:rFonts w:hint="eastAsia"/>
          <w:lang w:val="en-US" w:eastAsia="zh-CN"/>
        </w:rPr>
      </w:pPr>
      <w:r>
        <w:rPr>
          <w:rFonts w:hint="eastAsia" w:ascii="仿宋_GB2312" w:hAnsi="仿宋_GB2312" w:eastAsia="仿宋_GB2312" w:cs="仿宋_GB2312"/>
          <w:bCs/>
          <w:sz w:val="24"/>
          <w:highlight w:val="none"/>
          <w:lang w:val="en-US" w:eastAsia="zh-CN"/>
        </w:rPr>
        <w:t>详见：《川投(达州）燃气发电有限公司220kV升压站#1主变间隔、#2主变间隔、启备变间隔、母联间隔、燃州线间隔、燃化线间隔悬式绝缘子、耐张绝缘子检修技术规范书》。</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四、检修的标准与规范</w:t>
      </w:r>
    </w:p>
    <w:p>
      <w:pPr>
        <w:spacing w:line="400" w:lineRule="exact"/>
        <w:ind w:firstLine="420"/>
        <w:rPr>
          <w:rFonts w:hint="eastAsia"/>
          <w:lang w:val="en-US" w:eastAsia="zh-CN"/>
        </w:rPr>
      </w:pPr>
      <w:bookmarkStart w:id="21" w:name="_Toc15444"/>
      <w:bookmarkStart w:id="22" w:name="_Toc23949"/>
      <w:r>
        <w:rPr>
          <w:rFonts w:hint="eastAsia" w:ascii="仿宋_GB2312" w:hAnsi="仿宋_GB2312" w:eastAsia="仿宋_GB2312" w:cs="仿宋_GB2312"/>
          <w:bCs/>
          <w:sz w:val="24"/>
          <w:highlight w:val="none"/>
          <w:lang w:val="en-US" w:eastAsia="zh-CN"/>
        </w:rPr>
        <w:t>详见：《川投(达州）燃气发电有限公司220kV升压站#1主变间隔、#2主变间隔、启备变间隔、母联间隔、燃州线间隔、燃化线间隔悬式绝缘子、耐张绝缘子检修技术规范书》。</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五、检修时间</w:t>
      </w:r>
    </w:p>
    <w:p>
      <w:pPr>
        <w:numPr>
          <w:ilvl w:val="0"/>
          <w:numId w:val="0"/>
        </w:numPr>
        <w:spacing w:line="400" w:lineRule="exact"/>
        <w:ind w:firstLine="480" w:firstLineChars="2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工期预计14天，满足停电条件后，由比选人提前3天通知比选申请人，2天内达到开工条件。</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六、检修地点</w:t>
      </w:r>
    </w:p>
    <w:bookmarkEnd w:id="21"/>
    <w:bookmarkEnd w:id="22"/>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四川省达州市高新区斌郎街道桥坝社区7组，川投(达州)燃气发电有限公司生产线。</w:t>
      </w:r>
    </w:p>
    <w:p>
      <w:pPr>
        <w:spacing w:line="400" w:lineRule="exact"/>
        <w:ind w:firstLine="420"/>
        <w:rPr>
          <w:rFonts w:hint="eastAsia" w:ascii="仿宋_GB2312" w:hAnsi="仿宋_GB2312" w:eastAsia="仿宋_GB2312" w:cs="仿宋_GB2312"/>
          <w:bCs/>
          <w:sz w:val="24"/>
          <w:highlight w:val="none"/>
          <w:lang w:val="en-US" w:eastAsia="zh-CN"/>
        </w:rPr>
      </w:pPr>
      <w:bookmarkStart w:id="23" w:name="_Toc479776148"/>
      <w:r>
        <w:rPr>
          <w:rFonts w:hint="eastAsia" w:ascii="仿宋_GB2312" w:hAnsi="仿宋_GB2312" w:eastAsia="仿宋_GB2312" w:cs="仿宋_GB2312"/>
          <w:b/>
          <w:bCs w:val="0"/>
          <w:sz w:val="24"/>
          <w:highlight w:val="none"/>
          <w:lang w:val="en-US" w:eastAsia="zh-CN"/>
        </w:rPr>
        <w:t>七</w:t>
      </w:r>
      <w:bookmarkEnd w:id="23"/>
      <w:r>
        <w:rPr>
          <w:rFonts w:hint="eastAsia" w:ascii="仿宋_GB2312" w:hAnsi="仿宋_GB2312" w:eastAsia="仿宋_GB2312" w:cs="仿宋_GB2312"/>
          <w:b/>
          <w:bCs w:val="0"/>
          <w:sz w:val="24"/>
          <w:highlight w:val="none"/>
          <w:lang w:val="en-US" w:eastAsia="zh-CN"/>
        </w:rPr>
        <w:t>、比选费用</w:t>
      </w:r>
      <w:r>
        <w:rPr>
          <w:rFonts w:hint="eastAsia" w:ascii="仿宋_GB2312" w:hAnsi="仿宋_GB2312" w:eastAsia="仿宋_GB2312" w:cs="仿宋_GB2312"/>
          <w:bCs/>
          <w:sz w:val="24"/>
          <w:highlight w:val="none"/>
          <w:lang w:val="en-US" w:eastAsia="zh-CN"/>
        </w:rPr>
        <w:tab/>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无论中选与否，比选申请人为编制比选申请文件和参加比选申请工作所需的一切费用自理。</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八、比选文件的澄清</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要求澄清比选文件的服务单位对比选文件理解不清或有疑问，可于比选申请文件递交截止时间2天前书面要求比选人进行解释或澄清，比选人认为有必要解释的问题将在比选申请文件递交截止时间1天前以书面形式答复，并分送所有已得到比选文件的比选申请人，该澄清或修改的内容作为比选文件的组成部分。</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九、比选文件的修改</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（一）比选人在比选申请文件递交截止日前，可以对比选文件进行修改，这种修改可以是比选人主动提出的，也可以是为解答比选申请人澄清的问题做出的。</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（二）比选人将在天府阳光采购服务平台上传澄清文件，请比选申请人自行留意平台修改内容,</w:t>
      </w:r>
      <w:r>
        <w:rPr>
          <w:rFonts w:hint="eastAsia" w:ascii="仿宋_GB2312" w:hAnsi="仿宋_GB2312" w:eastAsia="仿宋_GB2312" w:cs="仿宋_GB2312"/>
          <w:bCs/>
          <w:color w:val="auto"/>
          <w:sz w:val="24"/>
          <w:szCs w:val="24"/>
          <w:highlight w:val="none"/>
          <w:lang w:val="en-US" w:eastAsia="zh-CN"/>
        </w:rPr>
        <w:t>比选人</w:t>
      </w:r>
      <w:r>
        <w:rPr>
          <w:rFonts w:hint="eastAsia" w:ascii="仿宋_GB2312" w:hAnsi="仿宋_GB2312" w:eastAsia="仿宋_GB2312" w:cs="仿宋_GB2312"/>
          <w:bCs/>
          <w:sz w:val="24"/>
          <w:highlight w:val="none"/>
          <w:lang w:val="en-US" w:eastAsia="zh-CN"/>
        </w:rPr>
        <w:t>不再另行通知,</w:t>
      </w:r>
      <w:r>
        <w:rPr>
          <w:rFonts w:hint="eastAsia" w:ascii="仿宋_GB2312" w:eastAsia="仿宋_GB2312"/>
          <w:sz w:val="24"/>
          <w:highlight w:val="none"/>
          <w:lang w:val="en-US" w:eastAsia="zh-CN"/>
        </w:rPr>
        <w:t>该澄清文件</w:t>
      </w:r>
      <w:r>
        <w:rPr>
          <w:rFonts w:hint="eastAsia" w:ascii="仿宋_GB2312" w:hAnsi="仿宋_GB2312" w:eastAsia="仿宋_GB2312" w:cs="仿宋_GB2312"/>
          <w:bCs/>
          <w:sz w:val="24"/>
          <w:highlight w:val="none"/>
          <w:lang w:val="en-US" w:eastAsia="zh-CN"/>
        </w:rPr>
        <w:t>作为比选文件的组成部分。</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（三）为了给比选申请人合理、充足的时间,比选人可以按规定酌情延长递交比选申请文件的截止时间，并书面通知比选申请人。</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十、比选申请人的认可</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（一）比选申请人应充分理解比选文件的全部内容，比选申请文件一经提交比选人，即表明比选申请人已经仔细阅读、调查和了解与项目有关的一切情况，并已理解比选文件的全部内容。</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（二）比选申请人确认比选申请文件具有法律效力，与比选人的任何个人的口头协议均不能影响比选申请文件的任何条款和内容。</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十一、</w:t>
      </w:r>
      <w:bookmarkStart w:id="24" w:name="_Toc108421201"/>
      <w:bookmarkStart w:id="25" w:name="_Toc50174907"/>
      <w:bookmarkStart w:id="26" w:name="_Toc138213334"/>
      <w:bookmarkStart w:id="27" w:name="_Toc108345371"/>
      <w:bookmarkStart w:id="28" w:name="_Toc108421116"/>
      <w:bookmarkStart w:id="29" w:name="_Toc108421533"/>
      <w:r>
        <w:rPr>
          <w:rFonts w:hint="eastAsia" w:ascii="仿宋_GB2312" w:hAnsi="仿宋_GB2312" w:eastAsia="仿宋_GB2312" w:cs="仿宋_GB2312"/>
          <w:b/>
          <w:bCs w:val="0"/>
          <w:sz w:val="24"/>
          <w:highlight w:val="none"/>
          <w:lang w:val="en-US" w:eastAsia="zh-CN"/>
        </w:rPr>
        <w:t>比选申请文件的编制</w:t>
      </w:r>
      <w:bookmarkEnd w:id="24"/>
      <w:bookmarkEnd w:id="25"/>
      <w:bookmarkEnd w:id="26"/>
      <w:bookmarkEnd w:id="27"/>
      <w:bookmarkEnd w:id="28"/>
      <w:bookmarkEnd w:id="29"/>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人应按比选文件（包括补充通知）规定的要求和格式编制比选申请文件并装订成册，比选申请文件正本一份、副本一份、电子文档pdf版本1份（加盖鲜章pdf扫描件，限U盘），封面上应标明正本、副本字样。</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（二）比选申请文件应使用打印、复印或不能擦去的墨水书写，文字要清晰，语意要明确，并按比选申请文件的要求加盖单位公章（其他专用章无效）和法定代表人（或委托代理人）签名。</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（三）比选申请文件应避免涂改和插字，若为了改正错误必须这样做时，均应由法定代表人（或委托代理人）在修改处盖章或签名确认。</w:t>
      </w:r>
    </w:p>
    <w:p>
      <w:pPr>
        <w:spacing w:line="400" w:lineRule="exact"/>
        <w:ind w:firstLine="420"/>
        <w:rPr>
          <w:rFonts w:hint="eastAsia" w:ascii="仿宋_GB2312" w:hAnsi="仿宋_GB2312" w:eastAsia="仿宋_GB2312" w:cs="仿宋_GB2312"/>
          <w:b/>
          <w:bCs w:val="0"/>
          <w:sz w:val="24"/>
          <w:highlight w:val="none"/>
          <w:lang w:val="en-US" w:eastAsia="zh-CN"/>
        </w:rPr>
      </w:pPr>
      <w:bookmarkStart w:id="30" w:name="_Toc44141096"/>
      <w:bookmarkStart w:id="31" w:name="_Toc16393523"/>
      <w:bookmarkStart w:id="32" w:name="_Toc43108380"/>
      <w:bookmarkStart w:id="33" w:name="_Toc17186110"/>
      <w:bookmarkStart w:id="34" w:name="_Toc109212566"/>
      <w:r>
        <w:rPr>
          <w:rFonts w:hint="eastAsia" w:ascii="仿宋_GB2312" w:hAnsi="仿宋_GB2312" w:eastAsia="仿宋_GB2312" w:cs="仿宋_GB2312"/>
          <w:b/>
          <w:bCs w:val="0"/>
          <w:sz w:val="24"/>
          <w:highlight w:val="none"/>
          <w:lang w:val="en-US" w:eastAsia="zh-CN"/>
        </w:rPr>
        <w:t>十二、比选申请文件的提交</w:t>
      </w:r>
      <w:bookmarkEnd w:id="30"/>
      <w:bookmarkEnd w:id="31"/>
      <w:bookmarkEnd w:id="32"/>
      <w:bookmarkEnd w:id="33"/>
      <w:bookmarkEnd w:id="34"/>
    </w:p>
    <w:p>
      <w:pPr>
        <w:spacing w:line="400" w:lineRule="exact"/>
        <w:ind w:firstLine="420"/>
        <w:rPr>
          <w:rFonts w:hint="eastAsia" w:ascii="仿宋_GB2312" w:hAnsi="仿宋_GB2312" w:eastAsia="仿宋_GB2312" w:cs="仿宋_GB2312"/>
          <w:bCs/>
          <w:sz w:val="24"/>
          <w:highlight w:val="none"/>
          <w:lang w:val="en-US" w:eastAsia="zh-CN"/>
        </w:rPr>
      </w:pPr>
      <w:bookmarkStart w:id="35" w:name="_Toc109212567"/>
      <w:r>
        <w:rPr>
          <w:rFonts w:hint="eastAsia" w:ascii="仿宋_GB2312" w:hAnsi="仿宋_GB2312" w:eastAsia="仿宋_GB2312" w:cs="仿宋_GB2312"/>
          <w:bCs/>
          <w:sz w:val="24"/>
          <w:highlight w:val="none"/>
          <w:lang w:val="en-US" w:eastAsia="zh-CN"/>
        </w:rPr>
        <w:t>（一）比选申请文件的密封和标记</w:t>
      </w:r>
      <w:bookmarkEnd w:id="35"/>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比选申请文件应装袋密封，不密封的比选申请文件无效。封袋面上写明：</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（1） 比选人的名称：川投（达州）燃气发电有限公司</w:t>
      </w:r>
    </w:p>
    <w:p>
      <w:pPr>
        <w:spacing w:line="400" w:lineRule="exact"/>
        <w:ind w:left="3119" w:leftChars="228" w:hanging="2640" w:hangingChars="11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 比选的项目名称：220kV升压站#1主变间隔、#2主变间隔、启备变间隔、</w:t>
      </w:r>
    </w:p>
    <w:p>
      <w:pPr>
        <w:spacing w:line="400" w:lineRule="exact"/>
        <w:ind w:left="3119" w:leftChars="228" w:hanging="2640" w:hangingChars="1100"/>
        <w:jc w:val="both"/>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母联间隔、燃州线间隔以及燃化线间隔悬式绝缘子、耐张绝缘子检修</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 xml:space="preserve">（3） 标明“在2024年2月26日下午14:30时前不准启封” </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（4） 比选申请人的名称和地址：四川省达州市高新区斌郎街道桥坝社区7组。</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（5） 封袋封口处应加盖比选申请人公章</w:t>
      </w:r>
    </w:p>
    <w:p>
      <w:pPr>
        <w:spacing w:line="400" w:lineRule="exact"/>
        <w:ind w:firstLine="420"/>
        <w:rPr>
          <w:rFonts w:hint="eastAsia" w:ascii="仿宋_GB2312" w:hAnsi="仿宋_GB2312" w:eastAsia="仿宋_GB2312" w:cs="仿宋_GB2312"/>
          <w:bCs/>
          <w:sz w:val="24"/>
          <w:highlight w:val="none"/>
          <w:lang w:val="en-US" w:eastAsia="zh-CN"/>
        </w:rPr>
      </w:pPr>
      <w:bookmarkStart w:id="36" w:name="_Toc109212568"/>
      <w:r>
        <w:rPr>
          <w:rFonts w:hint="eastAsia" w:ascii="仿宋_GB2312" w:hAnsi="仿宋_GB2312" w:eastAsia="仿宋_GB2312" w:cs="仿宋_GB2312"/>
          <w:bCs/>
          <w:sz w:val="24"/>
          <w:highlight w:val="none"/>
          <w:lang w:val="en-US" w:eastAsia="zh-CN"/>
        </w:rPr>
        <w:t>（二）比选申请文件递交截止时间</w:t>
      </w:r>
      <w:bookmarkEnd w:id="36"/>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比选申请人应在2024年2月26日下午14:30时</w:t>
      </w:r>
      <w:r>
        <w:rPr>
          <w:rFonts w:hint="eastAsia" w:ascii="仿宋_GB2312" w:hAnsi="仿宋_GB2312" w:eastAsia="仿宋_GB2312" w:cs="仿宋_GB2312"/>
          <w:bCs/>
          <w:sz w:val="24"/>
          <w:szCs w:val="24"/>
          <w:highlight w:val="none"/>
        </w:rPr>
        <w:t>前将比选申请文件送达。凡截止时间后送到的比选申请文件将被比选</w:t>
      </w:r>
      <w:r>
        <w:rPr>
          <w:rFonts w:hint="eastAsia" w:ascii="仿宋_GB2312" w:hAnsi="仿宋_GB2312" w:eastAsia="仿宋_GB2312" w:cs="仿宋_GB2312"/>
          <w:bCs/>
          <w:sz w:val="24"/>
          <w:highlight w:val="none"/>
          <w:lang w:val="en-US" w:eastAsia="zh-CN"/>
        </w:rPr>
        <w:t>人拒绝接收，比选人邀请已递交比选申请文件的比选申请人到现场监督，比选申请人可以选择是否派法定代表人或其授权代表出席比选申请文件开启会议。比选申请人参加会议的法定代表人或其授权代表应携带本人身份证，在比选申请文件开启情况签字确认证明其已出席开启会议。</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十三、比选申请人的报价</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（一）比选申请人的报价应包括比选申请人通过比选后为完成合同规定的全部工作内容需支付的人员工资、管理费用、差旅费、保险、税金等一切费用和拟获得的利润，并考虑了应承担的风险和责任。</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（二）比选申请人的报价为完成相关检修工作的总价。</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（三）比选申请人应按规定的格式填写报价。</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（四）比选申请报价应注明有效期，有效期应与比选申请文件有效期一致。</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（五）本次项目最高限价为人民币12万元，超过最高限价的报价无效。</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十四、</w:t>
      </w:r>
      <w:bookmarkStart w:id="37" w:name="_Toc108421124"/>
      <w:bookmarkStart w:id="38" w:name="_Toc108421209"/>
      <w:bookmarkStart w:id="39" w:name="_Toc138213342"/>
      <w:bookmarkStart w:id="40" w:name="_Toc108421541"/>
      <w:bookmarkStart w:id="41" w:name="_Toc47005031"/>
      <w:bookmarkStart w:id="42" w:name="_Toc108345379"/>
      <w:r>
        <w:rPr>
          <w:rFonts w:hint="eastAsia" w:ascii="仿宋_GB2312" w:hAnsi="仿宋_GB2312" w:eastAsia="仿宋_GB2312" w:cs="仿宋_GB2312"/>
          <w:b/>
          <w:bCs w:val="0"/>
          <w:sz w:val="24"/>
          <w:highlight w:val="none"/>
          <w:lang w:val="en-US" w:eastAsia="zh-CN"/>
        </w:rPr>
        <w:t>比选申请文件有效期</w:t>
      </w:r>
      <w:bookmarkEnd w:id="37"/>
      <w:bookmarkEnd w:id="38"/>
      <w:bookmarkEnd w:id="39"/>
      <w:bookmarkEnd w:id="40"/>
      <w:bookmarkEnd w:id="41"/>
      <w:bookmarkEnd w:id="42"/>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自比选申请文件递交截止日起算，有效期为90天。</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十五、比选申请文件的开启</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选人定于北京时间在2024年2月26日下午14:30时在四川省达州市高新区斌郎街道桥坝社区7组川投（达州）燃气发电有限公司办公楼四楼会议室举行比选申请文件开启仪式，比选人将当众打开比选申请文件，宣布参加比选申请人的名称、比选报价等情况。</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十六、无论比选结果如何，参与比选的投标单位的比选申请文件均不退回。</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十七、比选人不对未中选人作任何解释。</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
          <w:bCs w:val="0"/>
          <w:sz w:val="24"/>
          <w:highlight w:val="none"/>
          <w:lang w:val="en-US" w:eastAsia="zh-CN"/>
        </w:rPr>
        <w:t>十八、比选申请人不得提供虚假文件一经发现，将取消该比选申请人的比选资格</w:t>
      </w:r>
      <w:r>
        <w:rPr>
          <w:rFonts w:hint="eastAsia" w:ascii="仿宋_GB2312" w:hAnsi="仿宋_GB2312" w:eastAsia="仿宋_GB2312" w:cs="仿宋_GB2312"/>
          <w:bCs/>
          <w:sz w:val="24"/>
          <w:highlight w:val="none"/>
          <w:lang w:val="en-US" w:eastAsia="zh-CN"/>
        </w:rPr>
        <w:t>。</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br w:type="page"/>
      </w:r>
    </w:p>
    <w:p>
      <w:pPr>
        <w:pStyle w:val="4"/>
        <w:numPr>
          <w:ilvl w:val="0"/>
          <w:numId w:val="0"/>
        </w:numPr>
        <w:spacing w:line="360" w:lineRule="auto"/>
        <w:ind w:leftChars="0"/>
        <w:jc w:val="center"/>
        <w:rPr>
          <w:rFonts w:hint="eastAsia" w:asciiTheme="minorEastAsia" w:hAnsiTheme="minorEastAsia" w:eastAsiaTheme="minorEastAsia" w:cstheme="minorEastAsia"/>
          <w:highlight w:val="none"/>
        </w:rPr>
      </w:pPr>
      <w:bookmarkStart w:id="43" w:name="_Toc28077"/>
      <w:bookmarkStart w:id="44" w:name="_Toc25452"/>
      <w:bookmarkStart w:id="45" w:name="_Toc9365"/>
      <w:r>
        <w:rPr>
          <w:rFonts w:hint="eastAsia" w:asciiTheme="minorEastAsia" w:hAnsiTheme="minorEastAsia" w:eastAsiaTheme="minorEastAsia" w:cstheme="minorEastAsia"/>
          <w:highlight w:val="none"/>
          <w:lang w:val="en-US" w:eastAsia="zh-CN"/>
        </w:rPr>
        <w:t xml:space="preserve">第四章 </w:t>
      </w:r>
      <w:r>
        <w:rPr>
          <w:rFonts w:hint="eastAsia" w:asciiTheme="minorEastAsia" w:hAnsiTheme="minorEastAsia" w:eastAsiaTheme="minorEastAsia" w:cstheme="minorEastAsia"/>
          <w:highlight w:val="none"/>
        </w:rPr>
        <w:t>比选评审办法</w:t>
      </w:r>
      <w:bookmarkEnd w:id="43"/>
      <w:bookmarkEnd w:id="44"/>
      <w:bookmarkEnd w:id="45"/>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一、比选人组建评审委员会</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评审委员会由3人或以上单数组成。</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二、比选申请文件的资格评审</w:t>
      </w:r>
    </w:p>
    <w:p>
      <w:pPr>
        <w:spacing w:line="400" w:lineRule="exact"/>
        <w:ind w:firstLine="420"/>
        <w:rPr>
          <w:rFonts w:hint="eastAsia" w:ascii="仿宋_GB2312" w:hAnsi="仿宋_GB2312" w:eastAsia="仿宋_GB2312" w:cs="仿宋_GB2312"/>
          <w:b w:val="0"/>
          <w:bCs/>
          <w:sz w:val="24"/>
          <w:highlight w:val="none"/>
          <w:lang w:val="en-US" w:eastAsia="zh-CN"/>
        </w:rPr>
      </w:pPr>
      <w:r>
        <w:rPr>
          <w:rFonts w:hint="eastAsia" w:ascii="仿宋_GB2312" w:hAnsi="仿宋_GB2312" w:eastAsia="仿宋_GB2312" w:cs="仿宋_GB2312"/>
          <w:bCs/>
          <w:sz w:val="24"/>
          <w:highlight w:val="none"/>
          <w:lang w:val="en-US" w:eastAsia="zh-CN"/>
        </w:rPr>
        <w:t>评审委员会将审查比选申请人资格是否满足比选文件第二章要求，如果比选申请</w:t>
      </w:r>
      <w:r>
        <w:rPr>
          <w:rFonts w:hint="eastAsia" w:ascii="仿宋_GB2312" w:hAnsi="仿宋_GB2312" w:eastAsia="仿宋_GB2312" w:cs="仿宋_GB2312"/>
          <w:b w:val="0"/>
          <w:bCs/>
          <w:sz w:val="24"/>
          <w:highlight w:val="none"/>
          <w:lang w:val="en-US" w:eastAsia="zh-CN"/>
        </w:rPr>
        <w:t>人资格不满足要求，其比选申请文件作为无效比选申请文件处理。</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三、比选申请文件的初步评审</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（一）在详细审查之前，评审委员会要审查每份比选申请文件是否实质上响应了比选文件的要求，是否存在重大偏差。</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下列情况属于重大偏差为废标：</w:t>
      </w:r>
    </w:p>
    <w:p>
      <w:pPr>
        <w:numPr>
          <w:ilvl w:val="0"/>
          <w:numId w:val="0"/>
        </w:numPr>
        <w:tabs>
          <w:tab w:val="left" w:pos="317"/>
          <w:tab w:val="left" w:pos="482"/>
        </w:tabs>
        <w:spacing w:line="360" w:lineRule="auto"/>
        <w:ind w:left="0" w:leftChars="0" w:firstLine="480" w:firstLineChars="0"/>
        <w:rPr>
          <w:rFonts w:ascii="仿宋_GB2312" w:eastAsia="仿宋_GB2312"/>
          <w:sz w:val="24"/>
          <w:highlight w:val="none"/>
          <w:u w:val="none"/>
        </w:rPr>
      </w:pPr>
      <w:r>
        <w:rPr>
          <w:rFonts w:hint="eastAsia" w:ascii="仿宋_GB2312" w:hAnsi="Times New Roman" w:eastAsia="仿宋_GB2312" w:cs="Times New Roman"/>
          <w:b w:val="0"/>
          <w:kern w:val="2"/>
          <w:sz w:val="24"/>
          <w:szCs w:val="24"/>
          <w:lang w:val="en-US" w:eastAsia="zh-CN" w:bidi="ar-SA"/>
        </w:rPr>
        <w:t>（</w:t>
      </w:r>
      <w:r>
        <w:rPr>
          <w:rFonts w:hint="eastAsia" w:ascii="仿宋_GB2312" w:eastAsia="仿宋_GB2312" w:cs="Times New Roman"/>
          <w:b w:val="0"/>
          <w:kern w:val="2"/>
          <w:sz w:val="24"/>
          <w:szCs w:val="24"/>
          <w:lang w:val="en-US" w:eastAsia="zh-CN" w:bidi="ar-SA"/>
        </w:rPr>
        <w:t>1</w:t>
      </w:r>
      <w:r>
        <w:rPr>
          <w:rFonts w:hint="eastAsia" w:ascii="仿宋_GB2312" w:hAnsi="Times New Roman" w:eastAsia="仿宋_GB2312" w:cs="Times New Roman"/>
          <w:b w:val="0"/>
          <w:kern w:val="2"/>
          <w:sz w:val="24"/>
          <w:szCs w:val="24"/>
          <w:lang w:val="en-US" w:eastAsia="zh-CN" w:bidi="ar-SA"/>
        </w:rPr>
        <w:t>）</w:t>
      </w:r>
      <w:r>
        <w:rPr>
          <w:rFonts w:hint="eastAsia" w:ascii="仿宋_GB2312" w:eastAsia="仿宋_GB2312"/>
          <w:sz w:val="24"/>
          <w:highlight w:val="none"/>
          <w:u w:val="single"/>
        </w:rPr>
        <w:t>未按比选文件要求加盖单位公章或法定代表人（或</w:t>
      </w:r>
      <w:r>
        <w:rPr>
          <w:rFonts w:ascii="仿宋_GB2312" w:eastAsia="仿宋_GB2312"/>
          <w:sz w:val="24"/>
          <w:highlight w:val="none"/>
          <w:u w:val="single"/>
        </w:rPr>
        <w:t>授权代表</w:t>
      </w:r>
      <w:r>
        <w:rPr>
          <w:rFonts w:hint="eastAsia" w:ascii="仿宋_GB2312" w:eastAsia="仿宋_GB2312"/>
          <w:sz w:val="24"/>
          <w:highlight w:val="none"/>
          <w:u w:val="single"/>
        </w:rPr>
        <w:t>）</w:t>
      </w:r>
      <w:r>
        <w:rPr>
          <w:rFonts w:ascii="仿宋_GB2312" w:eastAsia="仿宋_GB2312"/>
          <w:sz w:val="24"/>
          <w:highlight w:val="none"/>
          <w:u w:val="single"/>
        </w:rPr>
        <w:t>签字</w:t>
      </w:r>
      <w:r>
        <w:rPr>
          <w:rFonts w:ascii="仿宋_GB2312" w:eastAsia="仿宋_GB2312"/>
          <w:sz w:val="24"/>
          <w:highlight w:val="none"/>
          <w:u w:val="none"/>
        </w:rPr>
        <w:t>；</w:t>
      </w:r>
    </w:p>
    <w:p>
      <w:pPr>
        <w:numPr>
          <w:ilvl w:val="0"/>
          <w:numId w:val="0"/>
        </w:numPr>
        <w:tabs>
          <w:tab w:val="left" w:pos="317"/>
          <w:tab w:val="left" w:pos="482"/>
        </w:tabs>
        <w:spacing w:line="360" w:lineRule="auto"/>
        <w:ind w:left="0" w:leftChars="0" w:firstLine="480" w:firstLineChars="0"/>
        <w:rPr>
          <w:rFonts w:ascii="仿宋_GB2312" w:eastAsia="仿宋_GB2312"/>
          <w:sz w:val="24"/>
          <w:highlight w:val="none"/>
          <w:u w:val="none"/>
        </w:rPr>
      </w:pPr>
      <w:r>
        <w:rPr>
          <w:rFonts w:hint="eastAsia" w:ascii="仿宋_GB2312" w:hAnsi="Times New Roman" w:eastAsia="仿宋_GB2312" w:cs="Times New Roman"/>
          <w:b w:val="0"/>
          <w:kern w:val="2"/>
          <w:sz w:val="24"/>
          <w:szCs w:val="24"/>
          <w:u w:val="none"/>
          <w:lang w:val="en-US" w:eastAsia="zh-CN" w:bidi="ar-SA"/>
        </w:rPr>
        <w:t>（</w:t>
      </w:r>
      <w:r>
        <w:rPr>
          <w:rFonts w:hint="eastAsia" w:ascii="仿宋_GB2312" w:eastAsia="仿宋_GB2312" w:cs="Times New Roman"/>
          <w:b w:val="0"/>
          <w:kern w:val="2"/>
          <w:sz w:val="24"/>
          <w:szCs w:val="24"/>
          <w:u w:val="none"/>
          <w:lang w:val="en-US" w:eastAsia="zh-CN" w:bidi="ar-SA"/>
        </w:rPr>
        <w:t>2</w:t>
      </w:r>
      <w:r>
        <w:rPr>
          <w:rFonts w:hint="eastAsia" w:ascii="仿宋_GB2312" w:hAnsi="Times New Roman" w:eastAsia="仿宋_GB2312" w:cs="Times New Roman"/>
          <w:b w:val="0"/>
          <w:kern w:val="2"/>
          <w:sz w:val="24"/>
          <w:szCs w:val="24"/>
          <w:u w:val="none"/>
          <w:lang w:val="en-US" w:eastAsia="zh-CN" w:bidi="ar-SA"/>
        </w:rPr>
        <w:t>）</w:t>
      </w:r>
      <w:r>
        <w:rPr>
          <w:rFonts w:hint="eastAsia" w:ascii="仿宋_GB2312" w:eastAsia="仿宋_GB2312"/>
          <w:sz w:val="24"/>
          <w:highlight w:val="none"/>
          <w:u w:val="single"/>
        </w:rPr>
        <w:t>未签署比选承诺函</w:t>
      </w:r>
      <w:r>
        <w:rPr>
          <w:rFonts w:hint="eastAsia" w:ascii="仿宋_GB2312" w:eastAsia="仿宋_GB2312"/>
          <w:sz w:val="24"/>
          <w:highlight w:val="none"/>
          <w:u w:val="none"/>
        </w:rPr>
        <w:t>；</w:t>
      </w:r>
    </w:p>
    <w:p>
      <w:pPr>
        <w:numPr>
          <w:ilvl w:val="0"/>
          <w:numId w:val="0"/>
        </w:numPr>
        <w:tabs>
          <w:tab w:val="left" w:pos="317"/>
          <w:tab w:val="left" w:pos="482"/>
        </w:tabs>
        <w:spacing w:line="360" w:lineRule="auto"/>
        <w:ind w:left="0" w:leftChars="0" w:firstLine="480" w:firstLineChars="0"/>
        <w:rPr>
          <w:rFonts w:ascii="仿宋_GB2312" w:eastAsia="仿宋_GB2312"/>
          <w:sz w:val="24"/>
          <w:highlight w:val="none"/>
          <w:u w:val="none"/>
        </w:rPr>
      </w:pPr>
      <w:r>
        <w:rPr>
          <w:rFonts w:hint="eastAsia" w:ascii="仿宋_GB2312" w:hAnsi="Times New Roman" w:eastAsia="仿宋_GB2312" w:cs="Times New Roman"/>
          <w:b w:val="0"/>
          <w:kern w:val="2"/>
          <w:sz w:val="24"/>
          <w:szCs w:val="24"/>
          <w:u w:val="none"/>
          <w:lang w:val="en-US" w:eastAsia="zh-CN" w:bidi="ar-SA"/>
        </w:rPr>
        <w:t>（</w:t>
      </w:r>
      <w:r>
        <w:rPr>
          <w:rFonts w:hint="eastAsia" w:ascii="仿宋_GB2312" w:eastAsia="仿宋_GB2312" w:cs="Times New Roman"/>
          <w:b w:val="0"/>
          <w:kern w:val="2"/>
          <w:sz w:val="24"/>
          <w:szCs w:val="24"/>
          <w:u w:val="none"/>
          <w:lang w:val="en-US" w:eastAsia="zh-CN" w:bidi="ar-SA"/>
        </w:rPr>
        <w:t>3</w:t>
      </w:r>
      <w:r>
        <w:rPr>
          <w:rFonts w:hint="eastAsia" w:ascii="仿宋_GB2312" w:hAnsi="Times New Roman" w:eastAsia="仿宋_GB2312" w:cs="Times New Roman"/>
          <w:b w:val="0"/>
          <w:kern w:val="2"/>
          <w:sz w:val="24"/>
          <w:szCs w:val="24"/>
          <w:u w:val="none"/>
          <w:lang w:val="en-US" w:eastAsia="zh-CN" w:bidi="ar-SA"/>
        </w:rPr>
        <w:t>）</w:t>
      </w:r>
      <w:r>
        <w:rPr>
          <w:rFonts w:hint="eastAsia" w:ascii="仿宋_GB2312" w:eastAsia="仿宋_GB2312"/>
          <w:sz w:val="24"/>
          <w:highlight w:val="none"/>
          <w:u w:val="single"/>
        </w:rPr>
        <w:t>授权委托书存在瑕疵</w:t>
      </w:r>
      <w:r>
        <w:rPr>
          <w:rFonts w:ascii="仿宋_GB2312" w:eastAsia="仿宋_GB2312"/>
          <w:sz w:val="24"/>
          <w:highlight w:val="none"/>
          <w:u w:val="none"/>
        </w:rPr>
        <w:t>；</w:t>
      </w:r>
    </w:p>
    <w:p>
      <w:pPr>
        <w:numPr>
          <w:ilvl w:val="0"/>
          <w:numId w:val="0"/>
        </w:numPr>
        <w:tabs>
          <w:tab w:val="left" w:pos="317"/>
          <w:tab w:val="left" w:pos="482"/>
        </w:tabs>
        <w:spacing w:line="360" w:lineRule="auto"/>
        <w:ind w:left="0" w:leftChars="0" w:firstLine="480" w:firstLineChars="0"/>
        <w:rPr>
          <w:rFonts w:ascii="仿宋_GB2312" w:eastAsia="仿宋_GB2312"/>
          <w:sz w:val="24"/>
          <w:highlight w:val="none"/>
          <w:u w:val="none"/>
        </w:rPr>
      </w:pPr>
      <w:r>
        <w:rPr>
          <w:rFonts w:hint="eastAsia" w:ascii="仿宋_GB2312" w:hAnsi="Times New Roman" w:eastAsia="仿宋_GB2312" w:cs="Times New Roman"/>
          <w:b w:val="0"/>
          <w:kern w:val="2"/>
          <w:sz w:val="24"/>
          <w:szCs w:val="24"/>
          <w:u w:val="none"/>
          <w:lang w:val="en-US" w:eastAsia="zh-CN" w:bidi="ar-SA"/>
        </w:rPr>
        <w:t>（</w:t>
      </w:r>
      <w:r>
        <w:rPr>
          <w:rFonts w:hint="eastAsia" w:ascii="仿宋_GB2312" w:eastAsia="仿宋_GB2312" w:cs="Times New Roman"/>
          <w:b w:val="0"/>
          <w:kern w:val="2"/>
          <w:sz w:val="24"/>
          <w:szCs w:val="24"/>
          <w:u w:val="none"/>
          <w:lang w:val="en-US" w:eastAsia="zh-CN" w:bidi="ar-SA"/>
        </w:rPr>
        <w:t>4</w:t>
      </w:r>
      <w:r>
        <w:rPr>
          <w:rFonts w:hint="eastAsia" w:ascii="仿宋_GB2312" w:hAnsi="Times New Roman" w:eastAsia="仿宋_GB2312" w:cs="Times New Roman"/>
          <w:b w:val="0"/>
          <w:kern w:val="2"/>
          <w:sz w:val="24"/>
          <w:szCs w:val="24"/>
          <w:u w:val="none"/>
          <w:lang w:val="en-US" w:eastAsia="zh-CN" w:bidi="ar-SA"/>
        </w:rPr>
        <w:t>）</w:t>
      </w:r>
      <w:r>
        <w:rPr>
          <w:rFonts w:ascii="仿宋_GB2312" w:eastAsia="仿宋_GB2312"/>
          <w:sz w:val="24"/>
          <w:highlight w:val="none"/>
          <w:u w:val="single"/>
        </w:rPr>
        <w:t>比选申请人</w:t>
      </w:r>
      <w:r>
        <w:rPr>
          <w:rFonts w:hint="eastAsia" w:ascii="仿宋_GB2312" w:eastAsia="仿宋_GB2312"/>
          <w:sz w:val="24"/>
          <w:highlight w:val="none"/>
          <w:u w:val="single"/>
        </w:rPr>
        <w:t>未按规定的格式填写，内容不完整或关键字迹模糊、无法辨认的</w:t>
      </w:r>
      <w:r>
        <w:rPr>
          <w:rFonts w:hint="eastAsia" w:ascii="仿宋_GB2312" w:eastAsia="仿宋_GB2312"/>
          <w:sz w:val="24"/>
          <w:highlight w:val="none"/>
          <w:u w:val="none"/>
        </w:rPr>
        <w:t>；</w:t>
      </w:r>
    </w:p>
    <w:p>
      <w:pPr>
        <w:numPr>
          <w:ilvl w:val="0"/>
          <w:numId w:val="0"/>
        </w:numPr>
        <w:tabs>
          <w:tab w:val="left" w:pos="317"/>
          <w:tab w:val="left" w:pos="482"/>
        </w:tabs>
        <w:spacing w:line="360" w:lineRule="auto"/>
        <w:ind w:left="0" w:leftChars="0" w:firstLine="480" w:firstLineChars="0"/>
        <w:rPr>
          <w:rFonts w:ascii="仿宋_GB2312" w:eastAsia="仿宋_GB2312"/>
          <w:sz w:val="24"/>
          <w:highlight w:val="none"/>
          <w:u w:val="none"/>
        </w:rPr>
      </w:pPr>
      <w:r>
        <w:rPr>
          <w:rFonts w:hint="eastAsia" w:ascii="仿宋_GB2312" w:hAnsi="Times New Roman" w:eastAsia="仿宋_GB2312" w:cs="Times New Roman"/>
          <w:b w:val="0"/>
          <w:kern w:val="2"/>
          <w:sz w:val="24"/>
          <w:szCs w:val="24"/>
          <w:u w:val="none"/>
          <w:lang w:val="en-US" w:eastAsia="zh-CN" w:bidi="ar-SA"/>
        </w:rPr>
        <w:t>（</w:t>
      </w:r>
      <w:r>
        <w:rPr>
          <w:rFonts w:hint="eastAsia" w:ascii="仿宋_GB2312" w:eastAsia="仿宋_GB2312" w:cs="Times New Roman"/>
          <w:b w:val="0"/>
          <w:kern w:val="2"/>
          <w:sz w:val="24"/>
          <w:szCs w:val="24"/>
          <w:u w:val="none"/>
          <w:lang w:val="en-US" w:eastAsia="zh-CN" w:bidi="ar-SA"/>
        </w:rPr>
        <w:t>5</w:t>
      </w:r>
      <w:r>
        <w:rPr>
          <w:rFonts w:hint="eastAsia" w:ascii="仿宋_GB2312" w:hAnsi="Times New Roman" w:eastAsia="仿宋_GB2312" w:cs="Times New Roman"/>
          <w:b w:val="0"/>
          <w:kern w:val="2"/>
          <w:sz w:val="24"/>
          <w:szCs w:val="24"/>
          <w:u w:val="none"/>
          <w:lang w:val="en-US" w:eastAsia="zh-CN" w:bidi="ar-SA"/>
        </w:rPr>
        <w:t>）</w:t>
      </w:r>
      <w:r>
        <w:rPr>
          <w:rFonts w:ascii="仿宋_GB2312" w:eastAsia="仿宋_GB2312"/>
          <w:sz w:val="24"/>
          <w:highlight w:val="none"/>
          <w:u w:val="single"/>
        </w:rPr>
        <w:t>比选申请人递交两份或多份内容不同的比选申请文件，或在一份比选申请文件中对同一比选申请</w:t>
      </w:r>
      <w:r>
        <w:rPr>
          <w:rFonts w:hint="eastAsia" w:ascii="仿宋_GB2312" w:eastAsia="仿宋_GB2312"/>
          <w:sz w:val="24"/>
          <w:highlight w:val="none"/>
          <w:u w:val="single"/>
        </w:rPr>
        <w:t>范围</w:t>
      </w:r>
      <w:r>
        <w:rPr>
          <w:rFonts w:ascii="仿宋_GB2312" w:eastAsia="仿宋_GB2312"/>
          <w:sz w:val="24"/>
          <w:highlight w:val="none"/>
          <w:u w:val="single"/>
        </w:rPr>
        <w:t>报有两个或多个报价，且未声明哪一个为最终报价的</w:t>
      </w:r>
      <w:r>
        <w:rPr>
          <w:rFonts w:ascii="仿宋_GB2312" w:eastAsia="仿宋_GB2312"/>
          <w:sz w:val="24"/>
          <w:highlight w:val="none"/>
          <w:u w:val="none"/>
        </w:rPr>
        <w:t>；</w:t>
      </w:r>
    </w:p>
    <w:p>
      <w:pPr>
        <w:numPr>
          <w:ilvl w:val="0"/>
          <w:numId w:val="0"/>
        </w:numPr>
        <w:tabs>
          <w:tab w:val="left" w:pos="317"/>
          <w:tab w:val="left" w:pos="482"/>
        </w:tabs>
        <w:spacing w:line="360" w:lineRule="auto"/>
        <w:ind w:left="0" w:leftChars="0" w:firstLine="480" w:firstLineChars="0"/>
        <w:rPr>
          <w:rFonts w:hint="eastAsia" w:ascii="仿宋_GB2312" w:hAnsi="Times New Roman" w:eastAsia="仿宋_GB2312" w:cs="Times New Roman"/>
          <w:b w:val="0"/>
          <w:kern w:val="2"/>
          <w:sz w:val="24"/>
          <w:szCs w:val="24"/>
          <w:u w:val="none"/>
          <w:lang w:val="en-US" w:eastAsia="zh-CN" w:bidi="ar-SA"/>
        </w:rPr>
      </w:pPr>
      <w:r>
        <w:rPr>
          <w:rFonts w:hint="eastAsia" w:ascii="仿宋_GB2312" w:hAnsi="Times New Roman" w:eastAsia="仿宋_GB2312" w:cs="Times New Roman"/>
          <w:b w:val="0"/>
          <w:kern w:val="2"/>
          <w:sz w:val="24"/>
          <w:szCs w:val="24"/>
          <w:u w:val="none"/>
          <w:lang w:val="en-US" w:eastAsia="zh-CN" w:bidi="ar-SA"/>
        </w:rPr>
        <w:t>（</w:t>
      </w:r>
      <w:r>
        <w:rPr>
          <w:rFonts w:hint="eastAsia" w:ascii="仿宋_GB2312" w:eastAsia="仿宋_GB2312" w:cs="Times New Roman"/>
          <w:b w:val="0"/>
          <w:kern w:val="2"/>
          <w:sz w:val="24"/>
          <w:szCs w:val="24"/>
          <w:u w:val="none"/>
          <w:lang w:val="en-US" w:eastAsia="zh-CN" w:bidi="ar-SA"/>
        </w:rPr>
        <w:t>6</w:t>
      </w:r>
      <w:r>
        <w:rPr>
          <w:rFonts w:hint="eastAsia" w:ascii="仿宋_GB2312" w:hAnsi="Times New Roman" w:eastAsia="仿宋_GB2312" w:cs="Times New Roman"/>
          <w:b w:val="0"/>
          <w:kern w:val="2"/>
          <w:sz w:val="24"/>
          <w:szCs w:val="24"/>
          <w:u w:val="none"/>
          <w:lang w:val="en-US" w:eastAsia="zh-CN" w:bidi="ar-SA"/>
        </w:rPr>
        <w:t>）</w:t>
      </w:r>
      <w:r>
        <w:rPr>
          <w:rFonts w:hint="eastAsia" w:ascii="仿宋_GB2312" w:eastAsia="仿宋_GB2312"/>
          <w:sz w:val="24"/>
          <w:highlight w:val="none"/>
          <w:u w:val="single"/>
        </w:rPr>
        <w:t>比选申请人递交的比选申请文件报价超过最高限价</w:t>
      </w:r>
      <w:r>
        <w:rPr>
          <w:rFonts w:hint="eastAsia" w:ascii="仿宋_GB2312" w:eastAsia="仿宋_GB2312"/>
          <w:sz w:val="24"/>
          <w:highlight w:val="none"/>
          <w:u w:val="single"/>
          <w:lang w:eastAsia="zh-CN"/>
        </w:rPr>
        <w:t>；</w:t>
      </w:r>
    </w:p>
    <w:p>
      <w:pPr>
        <w:numPr>
          <w:ilvl w:val="0"/>
          <w:numId w:val="0"/>
        </w:numPr>
        <w:tabs>
          <w:tab w:val="left" w:pos="317"/>
          <w:tab w:val="left" w:pos="482"/>
        </w:tabs>
        <w:spacing w:line="360" w:lineRule="auto"/>
        <w:ind w:left="0" w:leftChars="0" w:firstLine="480" w:firstLineChars="0"/>
        <w:rPr>
          <w:rFonts w:ascii="仿宋_GB2312" w:eastAsia="仿宋_GB2312"/>
          <w:sz w:val="24"/>
          <w:highlight w:val="none"/>
          <w:u w:val="none"/>
        </w:rPr>
      </w:pPr>
      <w:r>
        <w:rPr>
          <w:rFonts w:hint="eastAsia" w:ascii="仿宋_GB2312" w:eastAsia="仿宋_GB2312" w:cs="Times New Roman"/>
          <w:b w:val="0"/>
          <w:kern w:val="2"/>
          <w:sz w:val="24"/>
          <w:szCs w:val="24"/>
          <w:u w:val="none"/>
          <w:lang w:val="en-US" w:eastAsia="zh-CN" w:bidi="ar-SA"/>
        </w:rPr>
        <w:t>（7）</w:t>
      </w:r>
      <w:r>
        <w:rPr>
          <w:rFonts w:ascii="仿宋_GB2312" w:eastAsia="仿宋_GB2312"/>
          <w:sz w:val="24"/>
          <w:highlight w:val="none"/>
          <w:u w:val="single"/>
        </w:rPr>
        <w:t>不符合比选文件</w:t>
      </w:r>
      <w:r>
        <w:rPr>
          <w:rFonts w:hint="eastAsia" w:ascii="仿宋_GB2312" w:eastAsia="仿宋_GB2312"/>
          <w:sz w:val="24"/>
          <w:highlight w:val="none"/>
          <w:u w:val="single"/>
        </w:rPr>
        <w:t>及相关法律法规</w:t>
      </w:r>
      <w:r>
        <w:rPr>
          <w:rFonts w:ascii="仿宋_GB2312" w:eastAsia="仿宋_GB2312"/>
          <w:sz w:val="24"/>
          <w:highlight w:val="none"/>
          <w:u w:val="single"/>
        </w:rPr>
        <w:t>中规定的其它实质性要求</w:t>
      </w:r>
      <w:r>
        <w:rPr>
          <w:rFonts w:ascii="仿宋_GB2312" w:eastAsia="仿宋_GB2312"/>
          <w:sz w:val="24"/>
          <w:highlight w:val="none"/>
          <w:u w:val="none"/>
        </w:rPr>
        <w:t>。</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（二）如果比选申请文件存在上述重大偏差之一，作为无效比选申请文件处理。比选申请人不得通过修正从而使其比选申请文件成为实际上响应的比选申请文件。</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四、比选申请文件的详细评审</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比选采用</w:t>
      </w:r>
      <w:r>
        <w:rPr>
          <w:rFonts w:hint="eastAsia" w:ascii="仿宋_GB2312" w:hAnsi="仿宋_GB2312" w:eastAsia="仿宋_GB2312" w:cs="仿宋_GB2312"/>
          <w:b/>
          <w:bCs w:val="0"/>
          <w:sz w:val="24"/>
          <w:highlight w:val="none"/>
          <w:lang w:val="en-US" w:eastAsia="zh-CN"/>
        </w:rPr>
        <w:t>综合评分法</w:t>
      </w:r>
      <w:r>
        <w:rPr>
          <w:rFonts w:hint="eastAsia" w:ascii="仿宋_GB2312" w:hAnsi="仿宋_GB2312" w:eastAsia="仿宋_GB2312" w:cs="仿宋_GB2312"/>
          <w:bCs/>
          <w:sz w:val="24"/>
          <w:highlight w:val="none"/>
          <w:lang w:val="en-US" w:eastAsia="zh-CN"/>
        </w:rPr>
        <w:t>。以100分为满分，其中价格部分占50分，技术（业绩、方案等）占50分。</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（一）比选报价评分</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1.比选报价修正</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比选报价有算术错误的，评审委员会根据以下原则对比选报价进行修正，修正价格经比选申请人书面确认后具有约束力，比选申请人不接受修正价格的，其比选申请文件作无效比选申请文件处理。</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（1）比选申请人比选报价用数字表示的金额与用文字表示的金额不一致时，以文字金额为准；</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（2）当单项相加与合计金额不一致时，以合计金额为准。</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（二）基准评审价</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基准评审价是指通过资格评审、初步评审的有效比选申请人报价（修正价）的平均值</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color w:val="auto"/>
          <w:sz w:val="24"/>
          <w:szCs w:val="24"/>
          <w:highlight w:val="none"/>
        </w:rPr>
        <w:t>如果有效比选申请人超过五家，则采用去掉一个最高报价和一个最低报价后剩余的有效比选申请人平均报价</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highlight w:val="none"/>
          <w:lang w:val="en-US" w:eastAsia="zh-CN"/>
        </w:rPr>
        <w:t>。</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（三）收费报价评分办法</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default" w:ascii="仿宋_GB2312" w:hAnsi="仿宋_GB2312" w:eastAsia="仿宋_GB2312" w:cs="仿宋_GB2312"/>
          <w:bCs/>
          <w:sz w:val="24"/>
          <w:highlight w:val="none"/>
          <w:lang w:val="en-US" w:eastAsia="zh-CN"/>
        </w:rPr>
        <w:t>收费报价评分将基于基准评审价计算，</w:t>
      </w:r>
      <w:r>
        <w:rPr>
          <w:rFonts w:hint="eastAsia" w:ascii="仿宋_GB2312" w:hAnsi="仿宋_GB2312" w:eastAsia="仿宋_GB2312" w:cs="仿宋_GB2312"/>
          <w:bCs/>
          <w:sz w:val="24"/>
          <w:highlight w:val="none"/>
          <w:lang w:val="en-US" w:eastAsia="zh-CN"/>
        </w:rPr>
        <w:t>报价等于</w:t>
      </w:r>
      <w:r>
        <w:rPr>
          <w:rFonts w:hint="default" w:ascii="仿宋_GB2312" w:hAnsi="仿宋_GB2312" w:eastAsia="仿宋_GB2312" w:cs="仿宋_GB2312"/>
          <w:bCs/>
          <w:sz w:val="24"/>
          <w:highlight w:val="none"/>
          <w:lang w:val="en-US" w:eastAsia="zh-CN"/>
        </w:rPr>
        <w:t>基准评审价为满分</w:t>
      </w:r>
      <w:r>
        <w:rPr>
          <w:rFonts w:hint="eastAsia" w:ascii="仿宋_GB2312" w:hAnsi="仿宋_GB2312" w:eastAsia="仿宋_GB2312" w:cs="仿宋_GB2312"/>
          <w:bCs/>
          <w:sz w:val="24"/>
          <w:highlight w:val="none"/>
          <w:lang w:val="en-US" w:eastAsia="zh-CN"/>
        </w:rPr>
        <w:t>5</w:t>
      </w:r>
      <w:r>
        <w:rPr>
          <w:rFonts w:hint="default" w:ascii="仿宋_GB2312" w:hAnsi="仿宋_GB2312" w:eastAsia="仿宋_GB2312" w:cs="仿宋_GB2312"/>
          <w:bCs/>
          <w:sz w:val="24"/>
          <w:highlight w:val="none"/>
          <w:lang w:val="en-US" w:eastAsia="zh-CN"/>
        </w:rPr>
        <w:t>0分。报价每高于基准评审价1％，其价格评分将扣减</w:t>
      </w:r>
      <w:r>
        <w:rPr>
          <w:rFonts w:hint="eastAsia" w:ascii="仿宋_GB2312" w:hAnsi="仿宋_GB2312" w:eastAsia="仿宋_GB2312" w:cs="仿宋_GB2312"/>
          <w:bCs/>
          <w:sz w:val="24"/>
          <w:highlight w:val="none"/>
          <w:lang w:val="en-US" w:eastAsia="zh-CN"/>
        </w:rPr>
        <w:t>0.5</w:t>
      </w:r>
      <w:r>
        <w:rPr>
          <w:rFonts w:hint="default" w:ascii="仿宋_GB2312" w:hAnsi="仿宋_GB2312" w:eastAsia="仿宋_GB2312" w:cs="仿宋_GB2312"/>
          <w:bCs/>
          <w:sz w:val="24"/>
          <w:highlight w:val="none"/>
          <w:lang w:val="en-US" w:eastAsia="zh-CN"/>
        </w:rPr>
        <w:t>分，</w:t>
      </w:r>
      <w:r>
        <w:rPr>
          <w:rFonts w:hint="eastAsia" w:ascii="仿宋_GB2312" w:hAnsi="仿宋_GB2312" w:eastAsia="仿宋_GB2312" w:cs="仿宋_GB2312"/>
          <w:bCs/>
          <w:sz w:val="24"/>
          <w:highlight w:val="none"/>
          <w:lang w:val="en-US" w:eastAsia="zh-CN"/>
        </w:rPr>
        <w:t>本项最多扣至20分为止；</w:t>
      </w:r>
      <w:r>
        <w:rPr>
          <w:rFonts w:hint="default" w:ascii="仿宋_GB2312" w:hAnsi="仿宋_GB2312" w:eastAsia="仿宋_GB2312" w:cs="仿宋_GB2312"/>
          <w:bCs/>
          <w:sz w:val="24"/>
          <w:highlight w:val="none"/>
          <w:lang w:val="en-US" w:eastAsia="zh-CN"/>
        </w:rPr>
        <w:t>报价每</w:t>
      </w:r>
      <w:r>
        <w:rPr>
          <w:rFonts w:hint="eastAsia" w:ascii="仿宋_GB2312" w:hAnsi="仿宋_GB2312" w:eastAsia="仿宋_GB2312" w:cs="仿宋_GB2312"/>
          <w:bCs/>
          <w:sz w:val="24"/>
          <w:highlight w:val="none"/>
          <w:lang w:val="en-US" w:eastAsia="zh-CN"/>
        </w:rPr>
        <w:t>低</w:t>
      </w:r>
      <w:r>
        <w:rPr>
          <w:rFonts w:hint="default" w:ascii="仿宋_GB2312" w:hAnsi="仿宋_GB2312" w:eastAsia="仿宋_GB2312" w:cs="仿宋_GB2312"/>
          <w:bCs/>
          <w:sz w:val="24"/>
          <w:highlight w:val="none"/>
          <w:lang w:val="en-US" w:eastAsia="zh-CN"/>
        </w:rPr>
        <w:t>于基准评审价1％，其价格评分将扣减</w:t>
      </w:r>
      <w:r>
        <w:rPr>
          <w:rFonts w:hint="eastAsia" w:ascii="仿宋_GB2312" w:hAnsi="仿宋_GB2312" w:eastAsia="仿宋_GB2312" w:cs="仿宋_GB2312"/>
          <w:bCs/>
          <w:sz w:val="24"/>
          <w:highlight w:val="none"/>
          <w:lang w:val="en-US" w:eastAsia="zh-CN"/>
        </w:rPr>
        <w:t>0.25</w:t>
      </w:r>
      <w:r>
        <w:rPr>
          <w:rFonts w:hint="default" w:ascii="仿宋_GB2312" w:hAnsi="仿宋_GB2312" w:eastAsia="仿宋_GB2312" w:cs="仿宋_GB2312"/>
          <w:bCs/>
          <w:sz w:val="24"/>
          <w:highlight w:val="none"/>
          <w:lang w:val="en-US" w:eastAsia="zh-CN"/>
        </w:rPr>
        <w:t>分，</w:t>
      </w:r>
      <w:r>
        <w:rPr>
          <w:rFonts w:hint="eastAsia" w:ascii="仿宋_GB2312" w:hAnsi="仿宋_GB2312" w:eastAsia="仿宋_GB2312" w:cs="仿宋_GB2312"/>
          <w:bCs/>
          <w:sz w:val="24"/>
          <w:highlight w:val="none"/>
          <w:lang w:val="en-US" w:eastAsia="zh-CN"/>
        </w:rPr>
        <w:t>本项扣至20分为止。</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（四）评分规则</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（1）评审委员会成员只能按以上确定的评分项目、内容、要求进行评分，不能另行列项，否则视为废票；</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（2）评分由评审委员会成员在充分讨论、沟通的基础上，各自独立进行；</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（3）评分以记名方式进行；</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（4）比选申请人的总得分为报价得分和各项得分的总和。</w:t>
      </w:r>
    </w:p>
    <w:p>
      <w:pPr>
        <w:spacing w:line="400" w:lineRule="exact"/>
        <w:ind w:firstLine="420"/>
        <w:rPr>
          <w:rFonts w:hint="eastAsia" w:ascii="仿宋_GB2312" w:hAnsi="仿宋_GB2312" w:eastAsia="仿宋_GB2312" w:cs="仿宋_GB2312"/>
          <w:b/>
          <w:bCs w:val="0"/>
          <w:sz w:val="24"/>
          <w:highlight w:val="none"/>
          <w:lang w:val="en-US" w:eastAsia="zh-CN"/>
        </w:rPr>
      </w:pPr>
      <w:r>
        <w:rPr>
          <w:rFonts w:hint="eastAsia" w:ascii="仿宋_GB2312" w:hAnsi="仿宋_GB2312" w:eastAsia="仿宋_GB2312" w:cs="仿宋_GB2312"/>
          <w:b/>
          <w:bCs w:val="0"/>
          <w:sz w:val="24"/>
          <w:highlight w:val="none"/>
          <w:lang w:val="en-US" w:eastAsia="zh-CN"/>
        </w:rPr>
        <w:t>五、推荐中选候选人</w:t>
      </w:r>
    </w:p>
    <w:p>
      <w:pPr>
        <w:spacing w:line="400" w:lineRule="exact"/>
        <w:ind w:firstLine="420"/>
        <w:rPr>
          <w:rFonts w:ascii="仿宋_GB2312" w:eastAsia="仿宋_GB2312"/>
          <w:sz w:val="24"/>
          <w:highlight w:val="none"/>
          <w:u w:val="single"/>
        </w:rPr>
      </w:pPr>
      <w:r>
        <w:rPr>
          <w:rFonts w:hint="eastAsia" w:ascii="仿宋_GB2312" w:hAnsi="仿宋_GB2312" w:eastAsia="仿宋_GB2312" w:cs="仿宋_GB2312"/>
          <w:bCs/>
          <w:sz w:val="24"/>
          <w:highlight w:val="none"/>
          <w:lang w:val="en-US" w:eastAsia="zh-CN"/>
        </w:rPr>
        <w:t>评审委员会根据评分统计结果按综合得分从高到低排序，排序在第一名的比选申请人为推荐中选候选人。</w:t>
      </w:r>
    </w:p>
    <w:p>
      <w:pPr>
        <w:spacing w:line="400" w:lineRule="exact"/>
        <w:ind w:firstLine="420"/>
        <w:rPr>
          <w:rFonts w:hint="eastAsia" w:ascii="仿宋_GB2312" w:hAnsi="仿宋_GB2312" w:eastAsia="仿宋_GB2312" w:cs="仿宋_GB2312"/>
          <w:bCs/>
          <w:sz w:val="24"/>
          <w:highlight w:val="none"/>
          <w:lang w:val="en-US" w:eastAsia="zh-CN"/>
        </w:rPr>
      </w:pPr>
    </w:p>
    <w:p>
      <w:pPr>
        <w:spacing w:line="400" w:lineRule="exact"/>
        <w:ind w:firstLine="420"/>
        <w:rPr>
          <w:rFonts w:hint="eastAsia" w:ascii="仿宋_GB2312" w:hAnsi="仿宋_GB2312" w:eastAsia="仿宋_GB2312" w:cs="仿宋_GB2312"/>
          <w:bCs/>
          <w:sz w:val="24"/>
          <w:highlight w:val="none"/>
          <w:lang w:val="en-US" w:eastAsia="zh-CN"/>
        </w:rPr>
      </w:pPr>
    </w:p>
    <w:p>
      <w:pPr>
        <w:spacing w:line="400" w:lineRule="exact"/>
        <w:ind w:firstLine="420"/>
        <w:rPr>
          <w:rFonts w:hint="eastAsia" w:ascii="仿宋_GB2312" w:hAnsi="仿宋_GB2312" w:eastAsia="仿宋_GB2312" w:cs="仿宋_GB2312"/>
          <w:bCs/>
          <w:sz w:val="24"/>
          <w:highlight w:val="none"/>
          <w:lang w:val="en-US" w:eastAsia="zh-CN"/>
        </w:rPr>
      </w:pPr>
    </w:p>
    <w:p>
      <w:pPr>
        <w:spacing w:line="400" w:lineRule="exact"/>
        <w:ind w:firstLine="420"/>
        <w:rPr>
          <w:rFonts w:hint="eastAsia" w:ascii="仿宋_GB2312" w:hAnsi="仿宋_GB2312" w:eastAsia="仿宋_GB2312" w:cs="仿宋_GB2312"/>
          <w:bCs/>
          <w:sz w:val="24"/>
          <w:highlight w:val="none"/>
          <w:lang w:val="en-US" w:eastAsia="zh-CN"/>
        </w:rPr>
      </w:pPr>
    </w:p>
    <w:p>
      <w:pPr>
        <w:spacing w:line="400" w:lineRule="exact"/>
        <w:ind w:firstLine="420"/>
        <w:rPr>
          <w:rFonts w:hint="eastAsia" w:ascii="仿宋_GB2312" w:hAnsi="仿宋_GB2312" w:eastAsia="仿宋_GB2312" w:cs="仿宋_GB2312"/>
          <w:bCs/>
          <w:sz w:val="24"/>
          <w:highlight w:val="none"/>
          <w:lang w:val="en-US" w:eastAsia="zh-CN"/>
        </w:rPr>
      </w:pPr>
    </w:p>
    <w:p>
      <w:pPr>
        <w:spacing w:line="400" w:lineRule="exact"/>
        <w:ind w:firstLine="420"/>
        <w:rPr>
          <w:rFonts w:hint="eastAsia" w:ascii="仿宋_GB2312" w:hAnsi="仿宋_GB2312" w:eastAsia="仿宋_GB2312" w:cs="仿宋_GB2312"/>
          <w:bCs/>
          <w:sz w:val="24"/>
          <w:highlight w:val="none"/>
          <w:lang w:val="en-US" w:eastAsia="zh-CN"/>
        </w:rPr>
      </w:pPr>
    </w:p>
    <w:p>
      <w:pPr>
        <w:spacing w:line="400" w:lineRule="exact"/>
        <w:ind w:firstLine="420"/>
        <w:rPr>
          <w:rFonts w:hint="eastAsia" w:ascii="仿宋_GB2312" w:hAnsi="仿宋_GB2312" w:eastAsia="仿宋_GB2312" w:cs="仿宋_GB2312"/>
          <w:bCs/>
          <w:sz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pStyle w:val="9"/>
        <w:ind w:left="0" w:leftChars="0" w:firstLine="0" w:firstLineChars="0"/>
        <w:rPr>
          <w:rFonts w:hint="eastAsia" w:ascii="仿宋_GB2312" w:hAnsi="仿宋_GB2312" w:eastAsia="仿宋_GB2312" w:cs="仿宋_GB2312"/>
          <w:color w:val="000000"/>
          <w:kern w:val="0"/>
          <w:sz w:val="24"/>
          <w:szCs w:val="24"/>
          <w:highlight w:val="none"/>
          <w:lang w:val="en-US" w:eastAsia="zh-CN"/>
        </w:rPr>
      </w:pPr>
    </w:p>
    <w:p>
      <w:pPr>
        <w:tabs>
          <w:tab w:val="left" w:pos="840"/>
        </w:tabs>
        <w:spacing w:line="360" w:lineRule="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highlight w:val="none"/>
        </w:rPr>
        <w:t>综合评分标准细则：</w:t>
      </w:r>
    </w:p>
    <w:tbl>
      <w:tblPr>
        <w:tblStyle w:val="24"/>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85"/>
        <w:gridCol w:w="760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39" w:type="dxa"/>
            <w:vAlign w:val="center"/>
          </w:tcPr>
          <w:p>
            <w:pPr>
              <w:widowControl/>
              <w:jc w:val="center"/>
              <w:rPr>
                <w:rFonts w:hint="eastAsia" w:ascii="仿宋_GB2312" w:hAnsi="Times New Roman" w:eastAsia="仿宋_GB2312" w:cs="Times New Roman"/>
                <w:color w:val="auto"/>
                <w:highlight w:val="none"/>
              </w:rPr>
            </w:pPr>
            <w:r>
              <w:rPr>
                <w:rFonts w:hint="eastAsia" w:ascii="仿宋_GB2312" w:hAnsi="Times New Roman" w:eastAsia="仿宋_GB2312" w:cs="Times New Roman"/>
                <w:color w:val="auto"/>
                <w:highlight w:val="none"/>
              </w:rPr>
              <w:t>序号</w:t>
            </w:r>
          </w:p>
        </w:tc>
        <w:tc>
          <w:tcPr>
            <w:tcW w:w="1085" w:type="dxa"/>
            <w:vAlign w:val="center"/>
          </w:tcPr>
          <w:p>
            <w:pPr>
              <w:widowControl/>
              <w:jc w:val="center"/>
              <w:rPr>
                <w:rFonts w:hint="eastAsia" w:ascii="仿宋_GB2312" w:hAnsi="Times New Roman" w:eastAsia="仿宋_GB2312" w:cs="Times New Roman"/>
                <w:color w:val="auto"/>
                <w:highlight w:val="none"/>
              </w:rPr>
            </w:pPr>
            <w:r>
              <w:rPr>
                <w:rFonts w:hint="eastAsia" w:ascii="仿宋_GB2312" w:hAnsi="Times New Roman" w:eastAsia="仿宋_GB2312" w:cs="Times New Roman"/>
                <w:color w:val="auto"/>
                <w:highlight w:val="none"/>
              </w:rPr>
              <w:t>项目名称</w:t>
            </w:r>
          </w:p>
        </w:tc>
        <w:tc>
          <w:tcPr>
            <w:tcW w:w="7609" w:type="dxa"/>
            <w:vAlign w:val="center"/>
          </w:tcPr>
          <w:p>
            <w:pPr>
              <w:widowControl/>
              <w:jc w:val="center"/>
              <w:rPr>
                <w:rFonts w:hint="eastAsia" w:ascii="仿宋_GB2312" w:hAnsi="Times New Roman" w:eastAsia="仿宋_GB2312" w:cs="Times New Roman"/>
                <w:color w:val="auto"/>
                <w:highlight w:val="none"/>
              </w:rPr>
            </w:pPr>
            <w:r>
              <w:rPr>
                <w:rFonts w:hint="eastAsia" w:ascii="仿宋_GB2312" w:hAnsi="Times New Roman" w:eastAsia="仿宋_GB2312" w:cs="Times New Roman"/>
                <w:color w:val="auto"/>
                <w:highlight w:val="none"/>
              </w:rPr>
              <w:t>评分依据</w:t>
            </w:r>
          </w:p>
        </w:tc>
        <w:tc>
          <w:tcPr>
            <w:tcW w:w="727" w:type="dxa"/>
            <w:vAlign w:val="center"/>
          </w:tcPr>
          <w:p>
            <w:pPr>
              <w:widowControl/>
              <w:jc w:val="center"/>
              <w:rPr>
                <w:rFonts w:hint="eastAsia" w:ascii="仿宋_GB2312" w:hAnsi="Times New Roman" w:eastAsia="仿宋_GB2312" w:cs="Times New Roman"/>
                <w:color w:val="auto"/>
                <w:highlight w:val="none"/>
              </w:rPr>
            </w:pPr>
            <w:r>
              <w:rPr>
                <w:rFonts w:hint="eastAsia" w:ascii="仿宋_GB2312" w:hAnsi="Times New Roman" w:eastAsia="仿宋_GB2312" w:cs="Times New Roman"/>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39" w:type="dxa"/>
            <w:tcBorders>
              <w:top w:val="single" w:color="auto" w:sz="4" w:space="0"/>
              <w:left w:val="single" w:color="auto" w:sz="4" w:space="0"/>
              <w:right w:val="single" w:color="auto" w:sz="4" w:space="0"/>
            </w:tcBorders>
            <w:vAlign w:val="center"/>
          </w:tcPr>
          <w:p>
            <w:pPr>
              <w:widowControl/>
              <w:jc w:val="center"/>
              <w:rPr>
                <w:rFonts w:hint="eastAsia" w:ascii="仿宋_GB2312" w:hAnsi="Times New Roman" w:eastAsia="仿宋_GB2312" w:cs="Times New Roman"/>
                <w:color w:val="auto"/>
                <w:highlight w:val="none"/>
              </w:rPr>
            </w:pPr>
            <w:r>
              <w:rPr>
                <w:rFonts w:hint="eastAsia" w:ascii="仿宋_GB2312" w:hAnsi="Times New Roman" w:eastAsia="仿宋_GB2312" w:cs="Times New Roman"/>
                <w:color w:val="auto"/>
                <w:highlight w:val="none"/>
              </w:rPr>
              <w:t>1</w:t>
            </w:r>
          </w:p>
        </w:tc>
        <w:tc>
          <w:tcPr>
            <w:tcW w:w="1085" w:type="dxa"/>
            <w:tcBorders>
              <w:top w:val="single" w:color="auto" w:sz="4" w:space="0"/>
              <w:left w:val="single" w:color="auto" w:sz="4" w:space="0"/>
              <w:right w:val="single" w:color="auto" w:sz="4" w:space="0"/>
            </w:tcBorders>
            <w:vAlign w:val="center"/>
          </w:tcPr>
          <w:p>
            <w:pPr>
              <w:widowControl/>
              <w:jc w:val="center"/>
              <w:rPr>
                <w:rFonts w:hint="eastAsia" w:ascii="仿宋_GB2312" w:hAnsi="Times New Roman" w:eastAsia="仿宋_GB2312" w:cs="Times New Roman"/>
                <w:color w:val="auto"/>
                <w:highlight w:val="none"/>
              </w:rPr>
            </w:pPr>
            <w:r>
              <w:rPr>
                <w:rFonts w:hint="eastAsia" w:ascii="仿宋_GB2312" w:hAnsi="Times New Roman" w:eastAsia="仿宋_GB2312" w:cs="Times New Roman"/>
                <w:color w:val="auto"/>
                <w:highlight w:val="none"/>
              </w:rPr>
              <w:t>比选报价</w:t>
            </w:r>
          </w:p>
        </w:tc>
        <w:tc>
          <w:tcPr>
            <w:tcW w:w="7609" w:type="dxa"/>
            <w:tcBorders>
              <w:top w:val="single" w:color="auto" w:sz="4" w:space="0"/>
              <w:left w:val="single" w:color="auto" w:sz="4" w:space="0"/>
              <w:right w:val="single" w:color="auto" w:sz="4" w:space="0"/>
            </w:tcBorders>
            <w:vAlign w:val="center"/>
          </w:tcPr>
          <w:p>
            <w:pPr>
              <w:widowControl/>
              <w:numPr>
                <w:ilvl w:val="0"/>
                <w:numId w:val="0"/>
              </w:numPr>
              <w:jc w:val="left"/>
              <w:rPr>
                <w:rFonts w:hint="eastAsia" w:ascii="仿宋_GB2312" w:hAnsi="Times New Roman" w:eastAsia="仿宋_GB2312" w:cs="Times New Roman"/>
                <w:color w:val="auto"/>
                <w:highlight w:val="none"/>
                <w:lang w:val="en-US" w:eastAsia="zh-CN"/>
              </w:rPr>
            </w:pPr>
            <w:r>
              <w:rPr>
                <w:rFonts w:hint="eastAsia" w:ascii="仿宋_GB2312" w:hAnsi="Times New Roman" w:eastAsia="仿宋_GB2312" w:cs="Times New Roman"/>
                <w:color w:val="auto"/>
                <w:highlight w:val="none"/>
                <w:lang w:val="en-US" w:eastAsia="zh-CN"/>
              </w:rPr>
              <w:t>1.收费报价评分将基于基准评审价计算，报价等于基准评审价为满分50分。报价每高于基准评审价1％，其价格评分将扣减0.5分，本项最多扣至20分为止；报价每低于基准评审价1％，其价格评分将扣减0.25分，本项扣至20分为止。</w:t>
            </w:r>
          </w:p>
          <w:p>
            <w:pPr>
              <w:widowControl/>
              <w:numPr>
                <w:ilvl w:val="0"/>
                <w:numId w:val="0"/>
              </w:numPr>
              <w:ind w:firstLine="420" w:firstLineChars="200"/>
              <w:jc w:val="left"/>
              <w:rPr>
                <w:rFonts w:hint="default"/>
                <w:lang w:val="en-US"/>
              </w:rPr>
            </w:pPr>
            <w:r>
              <w:rPr>
                <w:rFonts w:hint="eastAsia" w:ascii="仿宋_GB2312" w:hAnsi="Times New Roman" w:eastAsia="仿宋_GB2312" w:cs="Times New Roman"/>
                <w:color w:val="auto"/>
                <w:highlight w:val="none"/>
                <w:lang w:val="en-US" w:eastAsia="zh-CN"/>
              </w:rPr>
              <w:t>备注：基准评审价是指通过资格评审、初步评审的有效比选申请人报价（修正价）的平均值</w:t>
            </w:r>
            <w:r>
              <w:rPr>
                <w:rFonts w:hint="eastAsia" w:ascii="仿宋_GB2312" w:eastAsia="仿宋_GB2312" w:cs="Times New Roman"/>
                <w:color w:val="auto"/>
                <w:highlight w:val="none"/>
                <w:lang w:val="en-US" w:eastAsia="zh-CN"/>
              </w:rPr>
              <w:t>，</w:t>
            </w:r>
            <w:r>
              <w:rPr>
                <w:rFonts w:hint="eastAsia" w:ascii="仿宋_GB2312" w:hAnsi="Times New Roman" w:eastAsia="仿宋_GB2312" w:cs="Times New Roman"/>
                <w:bCs w:val="0"/>
                <w:color w:val="auto"/>
                <w:sz w:val="21"/>
                <w:szCs w:val="24"/>
                <w:highlight w:val="none"/>
                <w:lang w:eastAsia="zh-CN"/>
              </w:rPr>
              <w:t>（</w:t>
            </w:r>
            <w:r>
              <w:rPr>
                <w:rFonts w:hint="eastAsia" w:ascii="仿宋_GB2312" w:hAnsi="Times New Roman" w:eastAsia="仿宋_GB2312" w:cs="Times New Roman"/>
                <w:bCs w:val="0"/>
                <w:color w:val="auto"/>
                <w:sz w:val="21"/>
                <w:szCs w:val="24"/>
                <w:highlight w:val="none"/>
              </w:rPr>
              <w:t>如果有效比选申请人超过五家，则采用去掉一个最高报价和一个最低报价后剩余的有效比选申请人平均报价</w:t>
            </w:r>
            <w:r>
              <w:rPr>
                <w:rFonts w:hint="eastAsia" w:ascii="仿宋_GB2312" w:hAnsi="Times New Roman" w:eastAsia="仿宋_GB2312" w:cs="Times New Roman"/>
                <w:bCs w:val="0"/>
                <w:color w:val="auto"/>
                <w:sz w:val="21"/>
                <w:szCs w:val="24"/>
                <w:highlight w:val="none"/>
                <w:lang w:eastAsia="zh-CN"/>
              </w:rPr>
              <w:t>）</w:t>
            </w:r>
            <w:r>
              <w:rPr>
                <w:rFonts w:hint="eastAsia" w:ascii="仿宋_GB2312" w:hAnsi="Times New Roman" w:eastAsia="仿宋_GB2312" w:cs="Times New Roman"/>
                <w:color w:val="auto"/>
                <w:highlight w:val="none"/>
                <w:lang w:val="en-US" w:eastAsia="zh-CN"/>
              </w:rPr>
              <w:t>。</w:t>
            </w:r>
          </w:p>
        </w:tc>
        <w:tc>
          <w:tcPr>
            <w:tcW w:w="727" w:type="dxa"/>
            <w:tcBorders>
              <w:top w:val="single" w:color="auto" w:sz="4" w:space="0"/>
              <w:left w:val="single" w:color="auto" w:sz="4" w:space="0"/>
              <w:right w:val="single" w:color="auto" w:sz="4" w:space="0"/>
            </w:tcBorders>
            <w:vAlign w:val="center"/>
          </w:tcPr>
          <w:p>
            <w:pPr>
              <w:widowControl/>
              <w:jc w:val="center"/>
              <w:rPr>
                <w:rFonts w:hint="default" w:ascii="仿宋_GB2312" w:hAnsi="Times New Roman" w:eastAsia="仿宋_GB2312" w:cs="Times New Roman"/>
                <w:color w:val="auto"/>
                <w:highlight w:val="none"/>
                <w:lang w:val="en-US"/>
              </w:rPr>
            </w:pPr>
            <w:r>
              <w:rPr>
                <w:rFonts w:hint="eastAsia" w:ascii="仿宋_GB2312" w:eastAsia="仿宋_GB2312" w:cs="Times New Roman"/>
                <w:color w:val="auto"/>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39" w:type="dxa"/>
            <w:tcBorders>
              <w:top w:val="single" w:color="auto" w:sz="4" w:space="0"/>
              <w:left w:val="single" w:color="auto" w:sz="4" w:space="0"/>
              <w:right w:val="single" w:color="auto" w:sz="4" w:space="0"/>
            </w:tcBorders>
            <w:vAlign w:val="center"/>
          </w:tcPr>
          <w:p>
            <w:pPr>
              <w:widowControl/>
              <w:jc w:val="center"/>
              <w:rPr>
                <w:rFonts w:hint="default" w:ascii="仿宋_GB2312" w:hAnsi="Times New Roman" w:eastAsia="仿宋_GB2312" w:cs="Times New Roman"/>
                <w:color w:val="auto"/>
                <w:highlight w:val="none"/>
                <w:lang w:val="en-US" w:eastAsia="zh-CN"/>
              </w:rPr>
            </w:pPr>
            <w:r>
              <w:rPr>
                <w:rFonts w:hint="eastAsia" w:ascii="仿宋_GB2312" w:hAnsi="Times New Roman" w:eastAsia="仿宋_GB2312" w:cs="Times New Roman"/>
                <w:color w:val="auto"/>
                <w:highlight w:val="none"/>
                <w:lang w:val="en-US" w:eastAsia="zh-CN"/>
              </w:rPr>
              <w:t>2</w:t>
            </w:r>
          </w:p>
        </w:tc>
        <w:tc>
          <w:tcPr>
            <w:tcW w:w="1085" w:type="dxa"/>
            <w:tcBorders>
              <w:top w:val="single" w:color="auto" w:sz="4" w:space="0"/>
              <w:left w:val="single" w:color="auto" w:sz="4" w:space="0"/>
              <w:right w:val="single" w:color="auto" w:sz="4" w:space="0"/>
            </w:tcBorders>
            <w:vAlign w:val="center"/>
          </w:tcPr>
          <w:p>
            <w:pPr>
              <w:widowControl/>
              <w:jc w:val="center"/>
              <w:rPr>
                <w:rFonts w:hint="eastAsia" w:ascii="仿宋_GB2312" w:hAnsi="Times New Roman" w:eastAsia="仿宋_GB2312" w:cs="Times New Roman"/>
                <w:color w:val="auto"/>
                <w:highlight w:val="none"/>
                <w:lang w:val="en-US" w:eastAsia="zh-CN"/>
              </w:rPr>
            </w:pPr>
            <w:r>
              <w:rPr>
                <w:rFonts w:hint="eastAsia" w:ascii="仿宋_GB2312" w:hAnsi="Times New Roman" w:eastAsia="仿宋_GB2312" w:cs="Times New Roman"/>
                <w:color w:val="auto"/>
                <w:highlight w:val="none"/>
                <w:lang w:val="en-US" w:eastAsia="zh-CN"/>
              </w:rPr>
              <w:t>业绩</w:t>
            </w:r>
          </w:p>
        </w:tc>
        <w:tc>
          <w:tcPr>
            <w:tcW w:w="760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rPr>
                <w:rFonts w:hint="eastAsia" w:ascii="仿宋_GB2312" w:hAnsi="Times New Roman"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提供3份及以上220kV输电线路检修业绩或升压站检修服务业绩，得基本分10分。</w:t>
            </w:r>
            <w:r>
              <w:rPr>
                <w:rFonts w:hint="eastAsia" w:ascii="仿宋_GB2312" w:hAnsi="Times New Roman" w:eastAsia="仿宋_GB2312" w:cs="Times New Roman"/>
                <w:color w:val="auto"/>
                <w:highlight w:val="none"/>
                <w:lang w:val="en-US" w:eastAsia="zh-CN"/>
              </w:rPr>
              <w:t>每增加一个业绩得</w:t>
            </w:r>
            <w:r>
              <w:rPr>
                <w:rFonts w:hint="eastAsia" w:ascii="仿宋_GB2312" w:eastAsia="仿宋_GB2312" w:cs="Times New Roman"/>
                <w:color w:val="auto"/>
                <w:highlight w:val="none"/>
                <w:lang w:val="en-US" w:eastAsia="zh-CN"/>
              </w:rPr>
              <w:t>5</w:t>
            </w:r>
            <w:r>
              <w:rPr>
                <w:rFonts w:hint="eastAsia" w:ascii="仿宋_GB2312" w:hAnsi="Times New Roman" w:eastAsia="仿宋_GB2312" w:cs="Times New Roman"/>
                <w:color w:val="auto"/>
                <w:highlight w:val="none"/>
                <w:lang w:val="en-US" w:eastAsia="zh-CN"/>
              </w:rPr>
              <w:t>分，</w:t>
            </w:r>
            <w:r>
              <w:rPr>
                <w:rFonts w:hint="eastAsia" w:ascii="仿宋_GB2312" w:eastAsia="仿宋_GB2312" w:cs="Times New Roman"/>
                <w:color w:val="auto"/>
                <w:highlight w:val="none"/>
                <w:lang w:val="en-US" w:eastAsia="zh-CN"/>
              </w:rPr>
              <w:t>本项</w:t>
            </w:r>
            <w:r>
              <w:rPr>
                <w:rFonts w:hint="eastAsia" w:ascii="仿宋_GB2312" w:hAnsi="Times New Roman" w:eastAsia="仿宋_GB2312" w:cs="Times New Roman"/>
                <w:color w:val="auto"/>
                <w:highlight w:val="none"/>
                <w:lang w:val="en-US" w:eastAsia="zh-CN"/>
              </w:rPr>
              <w:t>最高得</w:t>
            </w:r>
            <w:r>
              <w:rPr>
                <w:rFonts w:hint="eastAsia" w:ascii="仿宋_GB2312" w:eastAsia="仿宋_GB2312" w:cs="Times New Roman"/>
                <w:color w:val="auto"/>
                <w:highlight w:val="none"/>
                <w:lang w:val="en-US" w:eastAsia="zh-CN"/>
              </w:rPr>
              <w:t>20</w:t>
            </w:r>
            <w:r>
              <w:rPr>
                <w:rFonts w:hint="eastAsia" w:ascii="仿宋_GB2312" w:hAnsi="Times New Roman" w:eastAsia="仿宋_GB2312" w:cs="Times New Roman"/>
                <w:color w:val="auto"/>
                <w:highlight w:val="none"/>
                <w:lang w:val="en-US" w:eastAsia="zh-CN"/>
              </w:rPr>
              <w:t>分。</w:t>
            </w:r>
          </w:p>
          <w:p>
            <w:pPr>
              <w:widowControl/>
              <w:ind w:firstLine="420" w:firstLineChars="200"/>
              <w:jc w:val="left"/>
              <w:rPr>
                <w:rFonts w:hint="eastAsia" w:ascii="仿宋_GB2312" w:hAnsi="Times New Roman" w:eastAsia="仿宋_GB2312" w:cs="Times New Roman"/>
                <w:color w:val="auto"/>
                <w:kern w:val="2"/>
                <w:sz w:val="21"/>
                <w:szCs w:val="24"/>
                <w:highlight w:val="none"/>
                <w:lang w:val="en-US" w:eastAsia="zh-CN" w:bidi="ar-SA"/>
              </w:rPr>
            </w:pPr>
            <w:r>
              <w:rPr>
                <w:rFonts w:hint="eastAsia" w:ascii="仿宋_GB2312" w:hAnsi="Times New Roman" w:eastAsia="仿宋_GB2312" w:cs="Times New Roman"/>
                <w:color w:val="auto"/>
                <w:highlight w:val="none"/>
                <w:lang w:val="en-US" w:eastAsia="zh-CN"/>
              </w:rPr>
              <w:t>备注</w:t>
            </w:r>
            <w:r>
              <w:rPr>
                <w:rFonts w:hint="eastAsia" w:ascii="仿宋_GB2312" w:hAnsi="Times New Roman" w:eastAsia="仿宋_GB2312" w:cs="Times New Roman"/>
                <w:color w:val="auto"/>
                <w:highlight w:val="none"/>
              </w:rPr>
              <w:t>：</w:t>
            </w:r>
            <w:r>
              <w:rPr>
                <w:rFonts w:hint="eastAsia" w:ascii="仿宋_GB2312" w:hAnsi="Times New Roman" w:eastAsia="仿宋_GB2312" w:cs="Times New Roman"/>
                <w:color w:val="auto"/>
                <w:highlight w:val="none"/>
                <w:lang w:val="en-US" w:eastAsia="zh-CN"/>
              </w:rPr>
              <w:t>（必须</w:t>
            </w:r>
            <w:r>
              <w:rPr>
                <w:rFonts w:hint="eastAsia" w:ascii="仿宋_GB2312" w:eastAsia="仿宋_GB2312" w:cs="Times New Roman"/>
                <w:color w:val="auto"/>
                <w:highlight w:val="none"/>
                <w:lang w:val="en-US" w:eastAsia="zh-CN"/>
              </w:rPr>
              <w:t>必须提供3份及以上220kV输电线路检修业绩或升压站检修业绩</w:t>
            </w:r>
            <w:r>
              <w:rPr>
                <w:rFonts w:hint="eastAsia" w:ascii="仿宋_GB2312" w:hAnsi="Times New Roman" w:eastAsia="仿宋_GB2312" w:cs="Times New Roman"/>
                <w:color w:val="auto"/>
                <w:highlight w:val="none"/>
                <w:lang w:val="en-US" w:eastAsia="zh-CN"/>
              </w:rPr>
              <w:t>，</w:t>
            </w:r>
            <w:r>
              <w:rPr>
                <w:rFonts w:hint="eastAsia" w:ascii="仿宋_GB2312" w:eastAsia="仿宋_GB2312" w:cs="Times New Roman"/>
                <w:color w:val="auto"/>
                <w:highlight w:val="none"/>
                <w:lang w:val="en-US" w:eastAsia="zh-CN"/>
              </w:rPr>
              <w:t>合同扫描件并加盖公司印章，</w:t>
            </w:r>
            <w:r>
              <w:rPr>
                <w:rFonts w:hint="eastAsia" w:ascii="仿宋_GB2312" w:hAnsi="Times New Roman" w:eastAsia="仿宋_GB2312" w:cs="Times New Roman"/>
                <w:color w:val="auto"/>
                <w:highlight w:val="none"/>
                <w:lang w:val="en-US" w:eastAsia="zh-CN"/>
              </w:rPr>
              <w:t>合同扫描件应包括封面、签字页及能显示项目名称和内容部分，否则视同没提供该业绩</w:t>
            </w:r>
            <w:r>
              <w:rPr>
                <w:rFonts w:hint="eastAsia" w:ascii="仿宋_GB2312" w:eastAsia="仿宋_GB2312" w:cs="Times New Roman"/>
                <w:color w:val="auto"/>
                <w:highlight w:val="none"/>
                <w:lang w:eastAsia="zh-CN"/>
              </w:rPr>
              <w:t>，</w:t>
            </w:r>
            <w:r>
              <w:rPr>
                <w:rFonts w:hint="eastAsia" w:ascii="仿宋_GB2312" w:eastAsia="仿宋_GB2312"/>
                <w:color w:val="auto"/>
                <w:highlight w:val="none"/>
              </w:rPr>
              <w:t>否则将不得分</w:t>
            </w:r>
            <w:r>
              <w:rPr>
                <w:rFonts w:hint="eastAsia" w:ascii="仿宋_GB2312" w:eastAsia="仿宋_GB2312" w:cs="Times New Roman"/>
                <w:color w:val="auto"/>
                <w:highlight w:val="none"/>
                <w:u w:val="none"/>
                <w:lang w:eastAsia="zh-CN"/>
              </w:rPr>
              <w:t>。</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Times New Roman"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39" w:type="dxa"/>
            <w:tcBorders>
              <w:top w:val="single" w:color="auto" w:sz="4" w:space="0"/>
              <w:left w:val="single" w:color="auto" w:sz="4" w:space="0"/>
              <w:right w:val="single" w:color="auto" w:sz="4" w:space="0"/>
            </w:tcBorders>
            <w:vAlign w:val="center"/>
          </w:tcPr>
          <w:p>
            <w:pPr>
              <w:widowControl/>
              <w:jc w:val="center"/>
              <w:rPr>
                <w:rFonts w:hint="eastAsia" w:ascii="仿宋_GB2312" w:hAnsi="Times New Roman" w:eastAsia="仿宋_GB2312" w:cs="Times New Roman"/>
                <w:color w:val="auto"/>
                <w:kern w:val="2"/>
                <w:sz w:val="21"/>
                <w:szCs w:val="24"/>
                <w:highlight w:val="none"/>
                <w:lang w:val="en-US" w:eastAsia="zh-CN" w:bidi="ar-SA"/>
              </w:rPr>
            </w:pPr>
            <w:r>
              <w:rPr>
                <w:rFonts w:hint="eastAsia" w:ascii="仿宋_GB2312" w:hAnsi="Times New Roman" w:eastAsia="仿宋_GB2312" w:cs="Times New Roman"/>
                <w:color w:val="auto"/>
                <w:highlight w:val="none"/>
                <w:lang w:val="en-US" w:eastAsia="zh-CN"/>
              </w:rPr>
              <w:t>3</w:t>
            </w:r>
          </w:p>
        </w:tc>
        <w:tc>
          <w:tcPr>
            <w:tcW w:w="1085" w:type="dxa"/>
            <w:tcBorders>
              <w:top w:val="single" w:color="auto" w:sz="4" w:space="0"/>
              <w:left w:val="single" w:color="auto" w:sz="4" w:space="0"/>
              <w:right w:val="single" w:color="auto" w:sz="4" w:space="0"/>
            </w:tcBorders>
            <w:vAlign w:val="center"/>
          </w:tcPr>
          <w:p>
            <w:pPr>
              <w:widowControl/>
              <w:jc w:val="center"/>
              <w:rPr>
                <w:rFonts w:hint="default" w:ascii="仿宋_GB2312" w:hAnsi="Times New Roman"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检修措施</w:t>
            </w:r>
          </w:p>
        </w:tc>
        <w:tc>
          <w:tcPr>
            <w:tcW w:w="760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rPr>
                <w:rFonts w:hint="eastAsia" w:ascii="仿宋_GB2312"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依据《川投(达州）燃气发电有限公司220kV升压站#1主变间隔、#2主变间隔、启备变间隔、母联间隔、燃州线间隔、燃化线间隔悬式绝缘子、耐张绝缘子检修技术规范书》编写检修措施，按比选申请人提供检修质量标准及验收依据、设备检修后的达到的标准或要求、可信度和比选申请人的技术服务组织、服务的能力以及比选申请人提供的认证资料等综合评定。</w:t>
            </w:r>
          </w:p>
          <w:p>
            <w:pPr>
              <w:spacing w:line="240" w:lineRule="auto"/>
              <w:rPr>
                <w:rFonts w:hint="eastAsia" w:ascii="仿宋_GB2312" w:hAnsi="Times New Roman" w:eastAsia="仿宋_GB2312" w:cs="Times New Roman"/>
                <w:bCs/>
                <w:color w:val="auto"/>
                <w:sz w:val="21"/>
                <w:szCs w:val="21"/>
                <w:highlight w:val="none"/>
                <w:lang w:val="en-US" w:eastAsia="zh-CN"/>
              </w:rPr>
            </w:pPr>
            <w:r>
              <w:rPr>
                <w:rFonts w:hint="eastAsia" w:ascii="仿宋_GB2312" w:hAnsi="Times New Roman" w:eastAsia="仿宋_GB2312" w:cs="Times New Roman"/>
                <w:bCs/>
                <w:color w:val="auto"/>
                <w:sz w:val="21"/>
                <w:szCs w:val="21"/>
                <w:highlight w:val="none"/>
                <w:lang w:val="en-US" w:eastAsia="zh-CN"/>
              </w:rPr>
              <w:t>（1）</w:t>
            </w:r>
            <w:r>
              <w:rPr>
                <w:rFonts w:hint="eastAsia" w:ascii="仿宋_GB2312" w:eastAsia="仿宋_GB2312" w:cs="Times New Roman"/>
                <w:color w:val="auto"/>
                <w:highlight w:val="none"/>
                <w:lang w:val="en-US" w:eastAsia="zh-CN"/>
              </w:rPr>
              <w:t>检修措施</w:t>
            </w:r>
            <w:r>
              <w:rPr>
                <w:rFonts w:hint="eastAsia" w:ascii="仿宋_GB2312" w:hAnsi="Times New Roman" w:eastAsia="仿宋_GB2312" w:cs="Times New Roman"/>
                <w:bCs/>
                <w:color w:val="auto"/>
                <w:sz w:val="21"/>
                <w:szCs w:val="21"/>
                <w:highlight w:val="none"/>
                <w:lang w:val="en-US" w:eastAsia="zh-CN"/>
              </w:rPr>
              <w:t>内容模糊</w:t>
            </w:r>
            <w:r>
              <w:rPr>
                <w:rFonts w:hint="eastAsia" w:ascii="仿宋_GB2312" w:eastAsia="仿宋_GB2312" w:cs="Times New Roman"/>
                <w:bCs/>
                <w:color w:val="auto"/>
                <w:sz w:val="21"/>
                <w:szCs w:val="21"/>
                <w:highlight w:val="none"/>
                <w:lang w:val="en-US" w:eastAsia="zh-CN"/>
              </w:rPr>
              <w:t>不具备操作</w:t>
            </w:r>
            <w:r>
              <w:rPr>
                <w:rFonts w:hint="eastAsia" w:ascii="仿宋_GB2312" w:hAnsi="Times New Roman" w:eastAsia="仿宋_GB2312" w:cs="Times New Roman"/>
                <w:bCs/>
                <w:color w:val="auto"/>
                <w:sz w:val="21"/>
                <w:szCs w:val="21"/>
                <w:highlight w:val="none"/>
                <w:lang w:val="en-US" w:eastAsia="zh-CN"/>
              </w:rPr>
              <w:t xml:space="preserve">性 。                   </w:t>
            </w:r>
            <w:r>
              <w:rPr>
                <w:rFonts w:hint="eastAsia" w:ascii="仿宋_GB2312" w:eastAsia="仿宋_GB2312" w:cs="Times New Roman"/>
                <w:bCs/>
                <w:color w:val="auto"/>
                <w:sz w:val="21"/>
                <w:szCs w:val="21"/>
                <w:highlight w:val="none"/>
                <w:lang w:val="en-US" w:eastAsia="zh-CN"/>
              </w:rPr>
              <w:t xml:space="preserve">         </w:t>
            </w:r>
            <w:r>
              <w:rPr>
                <w:rFonts w:hint="eastAsia" w:ascii="仿宋_GB2312" w:hAnsi="Times New Roman" w:eastAsia="仿宋_GB2312" w:cs="Times New Roman"/>
                <w:bCs/>
                <w:color w:val="auto"/>
                <w:sz w:val="21"/>
                <w:szCs w:val="21"/>
                <w:highlight w:val="none"/>
                <w:lang w:val="en-US" w:eastAsia="zh-CN"/>
              </w:rPr>
              <w:t xml:space="preserve">（0分）              </w:t>
            </w:r>
            <w:r>
              <w:rPr>
                <w:rFonts w:hint="eastAsia" w:ascii="仿宋_GB2312" w:eastAsia="仿宋_GB2312" w:cs="Times New Roman"/>
                <w:bCs/>
                <w:color w:val="auto"/>
                <w:sz w:val="21"/>
                <w:szCs w:val="21"/>
                <w:highlight w:val="none"/>
                <w:lang w:val="en-US" w:eastAsia="zh-CN"/>
              </w:rPr>
              <w:t xml:space="preserve">                              </w:t>
            </w:r>
          </w:p>
          <w:p>
            <w:pPr>
              <w:spacing w:line="240" w:lineRule="auto"/>
              <w:rPr>
                <w:rFonts w:hint="eastAsia" w:ascii="仿宋_GB2312" w:hAnsi="Times New Roman" w:eastAsia="仿宋_GB2312" w:cs="Times New Roman"/>
                <w:bCs/>
                <w:color w:val="auto"/>
                <w:sz w:val="21"/>
                <w:szCs w:val="21"/>
                <w:highlight w:val="none"/>
                <w:lang w:val="en-US" w:eastAsia="zh-CN"/>
              </w:rPr>
            </w:pPr>
            <w:r>
              <w:rPr>
                <w:rFonts w:hint="eastAsia" w:ascii="仿宋_GB2312" w:hAnsi="Times New Roman" w:eastAsia="仿宋_GB2312" w:cs="Times New Roman"/>
                <w:bCs/>
                <w:color w:val="auto"/>
                <w:sz w:val="21"/>
                <w:szCs w:val="21"/>
                <w:highlight w:val="none"/>
                <w:lang w:val="en-US" w:eastAsia="zh-CN"/>
              </w:rPr>
              <w:t>（2）</w:t>
            </w:r>
            <w:r>
              <w:rPr>
                <w:rFonts w:hint="eastAsia" w:ascii="仿宋_GB2312" w:eastAsia="仿宋_GB2312" w:cs="Times New Roman"/>
                <w:color w:val="auto"/>
                <w:highlight w:val="none"/>
                <w:lang w:val="en-US" w:eastAsia="zh-CN"/>
              </w:rPr>
              <w:t>检修措施</w:t>
            </w:r>
            <w:r>
              <w:rPr>
                <w:rFonts w:hint="eastAsia" w:ascii="仿宋_GB2312" w:hAnsi="Times New Roman" w:eastAsia="仿宋_GB2312" w:cs="Times New Roman"/>
                <w:bCs/>
                <w:color w:val="auto"/>
                <w:sz w:val="21"/>
                <w:szCs w:val="21"/>
                <w:highlight w:val="none"/>
                <w:lang w:val="en-US" w:eastAsia="zh-CN"/>
              </w:rPr>
              <w:t>内容较完整，符合国家相关规范、规定要求，措施针对性较</w:t>
            </w:r>
            <w:r>
              <w:rPr>
                <w:rFonts w:hint="eastAsia" w:ascii="仿宋_GB2312" w:eastAsia="仿宋_GB2312" w:cs="Times New Roman"/>
                <w:bCs/>
                <w:color w:val="auto"/>
                <w:sz w:val="21"/>
                <w:szCs w:val="21"/>
                <w:highlight w:val="none"/>
                <w:lang w:val="en-US" w:eastAsia="zh-CN"/>
              </w:rPr>
              <w:t>一般</w:t>
            </w:r>
            <w:r>
              <w:rPr>
                <w:rFonts w:hint="eastAsia" w:ascii="仿宋_GB2312" w:hAnsi="Times New Roman" w:eastAsia="仿宋_GB2312" w:cs="Times New Roman"/>
                <w:bCs/>
                <w:color w:val="auto"/>
                <w:sz w:val="21"/>
                <w:szCs w:val="21"/>
                <w:highlight w:val="none"/>
                <w:lang w:val="en-US" w:eastAsia="zh-CN"/>
              </w:rPr>
              <w:t>、可操作性较</w:t>
            </w:r>
            <w:r>
              <w:rPr>
                <w:rFonts w:hint="eastAsia" w:ascii="仿宋_GB2312" w:eastAsia="仿宋_GB2312" w:cs="Times New Roman"/>
                <w:bCs/>
                <w:color w:val="auto"/>
                <w:sz w:val="21"/>
                <w:szCs w:val="21"/>
                <w:highlight w:val="none"/>
                <w:lang w:val="en-US" w:eastAsia="zh-CN"/>
              </w:rPr>
              <w:t>一般</w:t>
            </w:r>
            <w:r>
              <w:rPr>
                <w:rFonts w:hint="eastAsia" w:ascii="仿宋_GB2312" w:hAnsi="Times New Roman" w:eastAsia="仿宋_GB2312" w:cs="Times New Roman"/>
                <w:bCs/>
                <w:color w:val="auto"/>
                <w:sz w:val="21"/>
                <w:szCs w:val="21"/>
                <w:highlight w:val="none"/>
                <w:lang w:val="en-US" w:eastAsia="zh-CN"/>
              </w:rPr>
              <w:t xml:space="preserve">。            </w:t>
            </w:r>
            <w:r>
              <w:rPr>
                <w:rFonts w:hint="eastAsia" w:ascii="仿宋_GB2312" w:eastAsia="仿宋_GB2312" w:cs="Times New Roman"/>
                <w:bCs/>
                <w:color w:val="auto"/>
                <w:sz w:val="21"/>
                <w:szCs w:val="21"/>
                <w:highlight w:val="none"/>
                <w:lang w:val="en-US" w:eastAsia="zh-CN"/>
              </w:rPr>
              <w:t xml:space="preserve">                                  </w:t>
            </w:r>
            <w:r>
              <w:rPr>
                <w:rFonts w:hint="eastAsia" w:ascii="仿宋_GB2312" w:hAnsi="Times New Roman" w:eastAsia="仿宋_GB2312" w:cs="Times New Roman"/>
                <w:bCs/>
                <w:color w:val="auto"/>
                <w:sz w:val="21"/>
                <w:szCs w:val="21"/>
                <w:highlight w:val="none"/>
                <w:lang w:val="en-US" w:eastAsia="zh-CN"/>
              </w:rPr>
              <w:t>（</w:t>
            </w:r>
            <w:r>
              <w:rPr>
                <w:rFonts w:hint="eastAsia" w:ascii="仿宋_GB2312" w:eastAsia="仿宋_GB2312" w:cs="Times New Roman"/>
                <w:bCs/>
                <w:color w:val="auto"/>
                <w:sz w:val="21"/>
                <w:szCs w:val="21"/>
                <w:highlight w:val="none"/>
                <w:lang w:val="en-US" w:eastAsia="zh-CN"/>
              </w:rPr>
              <w:t>1</w:t>
            </w:r>
            <w:r>
              <w:rPr>
                <w:rFonts w:hint="eastAsia" w:ascii="仿宋_GB2312" w:hAnsi="Times New Roman" w:eastAsia="仿宋_GB2312" w:cs="Times New Roman"/>
                <w:bCs/>
                <w:color w:val="auto"/>
                <w:sz w:val="21"/>
                <w:szCs w:val="21"/>
                <w:highlight w:val="none"/>
                <w:lang w:val="en-US" w:eastAsia="zh-CN"/>
              </w:rPr>
              <w:t>-</w:t>
            </w:r>
            <w:r>
              <w:rPr>
                <w:rFonts w:hint="eastAsia" w:ascii="仿宋_GB2312" w:eastAsia="仿宋_GB2312" w:cs="Times New Roman"/>
                <w:bCs/>
                <w:color w:val="auto"/>
                <w:sz w:val="21"/>
                <w:szCs w:val="21"/>
                <w:highlight w:val="none"/>
                <w:lang w:val="en-US" w:eastAsia="zh-CN"/>
              </w:rPr>
              <w:t>7</w:t>
            </w:r>
            <w:r>
              <w:rPr>
                <w:rFonts w:hint="eastAsia" w:ascii="仿宋_GB2312" w:hAnsi="Times New Roman" w:eastAsia="仿宋_GB2312" w:cs="Times New Roman"/>
                <w:bCs/>
                <w:color w:val="auto"/>
                <w:sz w:val="21"/>
                <w:szCs w:val="21"/>
                <w:highlight w:val="none"/>
                <w:lang w:val="en-US" w:eastAsia="zh-CN"/>
              </w:rPr>
              <w:t>分）</w:t>
            </w:r>
          </w:p>
          <w:p>
            <w:pPr>
              <w:widowControl/>
              <w:numPr>
                <w:ilvl w:val="0"/>
                <w:numId w:val="0"/>
              </w:numPr>
              <w:jc w:val="left"/>
              <w:rPr>
                <w:rFonts w:hint="default" w:ascii="仿宋_GB2312" w:hAnsi="Times New Roman" w:eastAsia="仿宋_GB2312" w:cs="Times New Roman"/>
                <w:color w:val="auto"/>
                <w:sz w:val="21"/>
                <w:szCs w:val="21"/>
                <w:highlight w:val="none"/>
                <w:lang w:val="en-US"/>
              </w:rPr>
            </w:pPr>
            <w:r>
              <w:rPr>
                <w:rFonts w:hint="eastAsia" w:ascii="仿宋_GB2312" w:eastAsia="仿宋_GB2312"/>
                <w:bCs/>
                <w:color w:val="auto"/>
                <w:sz w:val="21"/>
                <w:szCs w:val="21"/>
                <w:highlight w:val="none"/>
                <w:lang w:val="en-US" w:eastAsia="zh-CN"/>
              </w:rPr>
              <w:t>（3）</w:t>
            </w:r>
            <w:r>
              <w:rPr>
                <w:rFonts w:hint="eastAsia" w:ascii="仿宋_GB2312" w:eastAsia="仿宋_GB2312" w:cs="Times New Roman"/>
                <w:color w:val="auto"/>
                <w:highlight w:val="none"/>
                <w:lang w:val="en-US" w:eastAsia="zh-CN"/>
              </w:rPr>
              <w:t>检修措施</w:t>
            </w:r>
            <w:r>
              <w:rPr>
                <w:rFonts w:hint="eastAsia" w:ascii="仿宋_GB2312" w:eastAsia="仿宋_GB2312"/>
                <w:bCs/>
                <w:color w:val="auto"/>
                <w:sz w:val="21"/>
                <w:szCs w:val="21"/>
                <w:highlight w:val="none"/>
                <w:lang w:val="en-US" w:eastAsia="zh-CN"/>
              </w:rPr>
              <w:t xml:space="preserve">内容完整，符合国家相关规范、规定要求，措施针对性强、可操作性强。                                                       （8-15分） </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Times New Roman"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39" w:type="dxa"/>
            <w:tcBorders>
              <w:top w:val="single" w:color="auto" w:sz="4" w:space="0"/>
              <w:left w:val="single" w:color="auto" w:sz="4" w:space="0"/>
              <w:right w:val="single" w:color="auto" w:sz="4" w:space="0"/>
            </w:tcBorders>
            <w:vAlign w:val="center"/>
          </w:tcPr>
          <w:p>
            <w:pPr>
              <w:widowControl/>
              <w:jc w:val="center"/>
              <w:rPr>
                <w:rFonts w:hint="eastAsia" w:ascii="仿宋_GB2312" w:hAnsi="Times New Roman" w:eastAsia="仿宋_GB2312" w:cs="Times New Roman"/>
                <w:color w:val="auto"/>
                <w:kern w:val="2"/>
                <w:sz w:val="21"/>
                <w:szCs w:val="24"/>
                <w:highlight w:val="none"/>
                <w:lang w:val="en-US" w:eastAsia="zh-CN" w:bidi="ar-SA"/>
              </w:rPr>
            </w:pPr>
            <w:r>
              <w:rPr>
                <w:rFonts w:hint="eastAsia" w:ascii="仿宋_GB2312" w:hAnsi="Times New Roman" w:eastAsia="仿宋_GB2312" w:cs="Times New Roman"/>
                <w:color w:val="auto"/>
                <w:highlight w:val="none"/>
                <w:lang w:val="en-US" w:eastAsia="zh-CN"/>
              </w:rPr>
              <w:t>4</w:t>
            </w:r>
          </w:p>
        </w:tc>
        <w:tc>
          <w:tcPr>
            <w:tcW w:w="1085" w:type="dxa"/>
            <w:tcBorders>
              <w:top w:val="single" w:color="auto" w:sz="4" w:space="0"/>
              <w:left w:val="single" w:color="auto" w:sz="4" w:space="0"/>
              <w:right w:val="single" w:color="auto" w:sz="4" w:space="0"/>
            </w:tcBorders>
            <w:vAlign w:val="center"/>
          </w:tcPr>
          <w:p>
            <w:pPr>
              <w:widowControl/>
              <w:jc w:val="center"/>
              <w:rPr>
                <w:rFonts w:hint="default" w:ascii="仿宋_GB2312" w:hAnsi="Times New Roman" w:eastAsia="仿宋_GB2312" w:cs="Times New Roman"/>
                <w:color w:val="auto"/>
                <w:highlight w:val="none"/>
                <w:lang w:val="en-US" w:eastAsia="zh-CN"/>
              </w:rPr>
            </w:pPr>
            <w:r>
              <w:rPr>
                <w:rFonts w:hint="default" w:ascii="仿宋_GB2312" w:hAnsi="Times New Roman" w:eastAsia="仿宋_GB2312" w:cs="Times New Roman"/>
                <w:color w:val="auto"/>
                <w:highlight w:val="none"/>
                <w:lang w:val="en-US" w:eastAsia="zh-CN"/>
              </w:rPr>
              <w:t>安全文明</w:t>
            </w:r>
          </w:p>
          <w:p>
            <w:pPr>
              <w:widowControl/>
              <w:jc w:val="center"/>
              <w:rPr>
                <w:rFonts w:hint="default" w:ascii="仿宋_GB2312" w:hAnsi="Times New Roman" w:eastAsia="仿宋_GB2312" w:cs="Times New Roman"/>
                <w:color w:val="auto"/>
                <w:highlight w:val="none"/>
                <w:lang w:val="en-US" w:eastAsia="zh-CN"/>
              </w:rPr>
            </w:pPr>
            <w:r>
              <w:rPr>
                <w:rFonts w:hint="default" w:ascii="仿宋_GB2312" w:hAnsi="Times New Roman" w:eastAsia="仿宋_GB2312" w:cs="Times New Roman"/>
                <w:color w:val="auto"/>
                <w:highlight w:val="none"/>
                <w:lang w:val="en-US" w:eastAsia="zh-CN"/>
              </w:rPr>
              <w:t>施工管理</w:t>
            </w:r>
          </w:p>
        </w:tc>
        <w:tc>
          <w:tcPr>
            <w:tcW w:w="7609"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jc w:val="left"/>
              <w:rPr>
                <w:rFonts w:hint="eastAsia" w:ascii="仿宋_GB2312" w:hAnsi="Times New Roman"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依据《川投(达州）燃气发电有限公司220kV升压站#1主变间隔、#2主变间隔、启备变间隔、母联间隔、燃州线间隔、燃化线间隔悬式绝缘子、耐张绝缘子检修技术规范书》编写</w:t>
            </w:r>
            <w:r>
              <w:rPr>
                <w:rFonts w:hint="default" w:ascii="仿宋_GB2312" w:hAnsi="Times New Roman" w:eastAsia="仿宋_GB2312" w:cs="Times New Roman"/>
                <w:color w:val="auto"/>
                <w:highlight w:val="none"/>
                <w:lang w:val="en-US" w:eastAsia="zh-CN"/>
              </w:rPr>
              <w:t>安全文明施工管理举措</w:t>
            </w:r>
            <w:r>
              <w:rPr>
                <w:rFonts w:hint="eastAsia" w:ascii="仿宋_GB2312" w:eastAsia="仿宋_GB2312" w:cs="Times New Roman"/>
                <w:color w:val="auto"/>
                <w:highlight w:val="none"/>
                <w:lang w:val="en-US" w:eastAsia="zh-CN"/>
              </w:rPr>
              <w:t>,</w:t>
            </w:r>
            <w:r>
              <w:rPr>
                <w:rFonts w:hint="default" w:ascii="仿宋_GB2312" w:hAnsi="Times New Roman" w:eastAsia="仿宋_GB2312" w:cs="Times New Roman"/>
                <w:color w:val="auto"/>
                <w:highlight w:val="none"/>
                <w:lang w:val="en-US" w:eastAsia="zh-CN"/>
              </w:rPr>
              <w:t>安全、环保管理体系及措施可行，符合电厂安全文明生产管理要求</w:t>
            </w:r>
            <w:r>
              <w:rPr>
                <w:rFonts w:hint="eastAsia" w:ascii="仿宋_GB2312" w:hAnsi="Times New Roman" w:eastAsia="仿宋_GB2312" w:cs="Times New Roman"/>
                <w:color w:val="auto"/>
                <w:highlight w:val="none"/>
                <w:lang w:val="en-US" w:eastAsia="zh-CN"/>
              </w:rPr>
              <w:t>。</w:t>
            </w:r>
          </w:p>
          <w:p>
            <w:pPr>
              <w:widowControl/>
              <w:jc w:val="both"/>
              <w:rPr>
                <w:rFonts w:hint="eastAsia" w:ascii="仿宋_GB2312" w:hAnsi="Times New Roman" w:eastAsia="仿宋_GB2312" w:cs="Times New Roman"/>
                <w:bCs/>
                <w:color w:val="auto"/>
                <w:sz w:val="21"/>
                <w:szCs w:val="21"/>
                <w:highlight w:val="none"/>
                <w:lang w:val="en-US" w:eastAsia="zh-CN"/>
              </w:rPr>
            </w:pPr>
            <w:r>
              <w:rPr>
                <w:rFonts w:hint="eastAsia" w:ascii="仿宋_GB2312" w:hAnsi="Times New Roman" w:eastAsia="仿宋_GB2312" w:cs="Times New Roman"/>
                <w:bCs/>
                <w:color w:val="auto"/>
                <w:sz w:val="21"/>
                <w:szCs w:val="21"/>
                <w:highlight w:val="none"/>
                <w:lang w:val="en-US" w:eastAsia="zh-CN"/>
              </w:rPr>
              <w:t>（1）</w:t>
            </w:r>
            <w:r>
              <w:rPr>
                <w:rFonts w:hint="default" w:ascii="仿宋_GB2312" w:hAnsi="Times New Roman" w:eastAsia="仿宋_GB2312" w:cs="Times New Roman"/>
                <w:color w:val="auto"/>
                <w:highlight w:val="none"/>
                <w:lang w:val="en-US" w:eastAsia="zh-CN"/>
              </w:rPr>
              <w:t>安全文明施工管理</w:t>
            </w:r>
            <w:r>
              <w:rPr>
                <w:rFonts w:hint="eastAsia" w:ascii="仿宋_GB2312" w:hAnsi="Times New Roman" w:eastAsia="仿宋_GB2312" w:cs="Times New Roman"/>
                <w:color w:val="auto"/>
                <w:highlight w:val="none"/>
                <w:lang w:val="en-US" w:eastAsia="zh-CN"/>
              </w:rPr>
              <w:t>措施</w:t>
            </w:r>
            <w:r>
              <w:rPr>
                <w:rFonts w:hint="eastAsia" w:ascii="仿宋_GB2312" w:hAnsi="Times New Roman" w:eastAsia="仿宋_GB2312" w:cs="Times New Roman"/>
                <w:bCs/>
                <w:color w:val="auto"/>
                <w:sz w:val="21"/>
                <w:szCs w:val="21"/>
                <w:highlight w:val="none"/>
                <w:lang w:val="en-US" w:eastAsia="zh-CN"/>
              </w:rPr>
              <w:t>内容模糊</w:t>
            </w:r>
            <w:r>
              <w:rPr>
                <w:rFonts w:hint="eastAsia" w:ascii="仿宋_GB2312" w:eastAsia="仿宋_GB2312" w:cs="Times New Roman"/>
                <w:bCs/>
                <w:color w:val="auto"/>
                <w:sz w:val="21"/>
                <w:szCs w:val="21"/>
                <w:highlight w:val="none"/>
                <w:lang w:val="en-US" w:eastAsia="zh-CN"/>
              </w:rPr>
              <w:t>不具备操作</w:t>
            </w:r>
            <w:r>
              <w:rPr>
                <w:rFonts w:hint="eastAsia" w:ascii="仿宋_GB2312" w:hAnsi="Times New Roman" w:eastAsia="仿宋_GB2312" w:cs="Times New Roman"/>
                <w:bCs/>
                <w:color w:val="auto"/>
                <w:sz w:val="21"/>
                <w:szCs w:val="21"/>
                <w:highlight w:val="none"/>
                <w:lang w:val="en-US" w:eastAsia="zh-CN"/>
              </w:rPr>
              <w:t xml:space="preserve">性 。       </w:t>
            </w:r>
            <w:r>
              <w:rPr>
                <w:rFonts w:hint="eastAsia" w:ascii="仿宋_GB2312" w:eastAsia="仿宋_GB2312" w:cs="Times New Roman"/>
                <w:bCs/>
                <w:color w:val="auto"/>
                <w:sz w:val="21"/>
                <w:szCs w:val="21"/>
                <w:highlight w:val="none"/>
                <w:lang w:val="en-US" w:eastAsia="zh-CN"/>
              </w:rPr>
              <w:t xml:space="preserve">      </w:t>
            </w:r>
            <w:r>
              <w:rPr>
                <w:rFonts w:hint="eastAsia" w:ascii="仿宋_GB2312" w:hAnsi="Times New Roman" w:eastAsia="仿宋_GB2312" w:cs="Times New Roman"/>
                <w:bCs/>
                <w:color w:val="auto"/>
                <w:sz w:val="21"/>
                <w:szCs w:val="21"/>
                <w:highlight w:val="none"/>
                <w:lang w:val="en-US" w:eastAsia="zh-CN"/>
              </w:rPr>
              <w:t xml:space="preserve"> </w:t>
            </w:r>
            <w:r>
              <w:rPr>
                <w:rFonts w:hint="eastAsia" w:ascii="仿宋_GB2312" w:eastAsia="仿宋_GB2312" w:cs="Times New Roman"/>
                <w:bCs/>
                <w:color w:val="auto"/>
                <w:sz w:val="21"/>
                <w:szCs w:val="21"/>
                <w:highlight w:val="none"/>
                <w:lang w:val="en-US" w:eastAsia="zh-CN"/>
              </w:rPr>
              <w:t xml:space="preserve">   </w:t>
            </w:r>
            <w:r>
              <w:rPr>
                <w:rFonts w:hint="eastAsia" w:ascii="仿宋_GB2312" w:hAnsi="Times New Roman" w:eastAsia="仿宋_GB2312" w:cs="Times New Roman"/>
                <w:bCs/>
                <w:color w:val="auto"/>
                <w:sz w:val="21"/>
                <w:szCs w:val="21"/>
                <w:highlight w:val="none"/>
                <w:lang w:val="en-US" w:eastAsia="zh-CN"/>
              </w:rPr>
              <w:t xml:space="preserve">（0分）              </w:t>
            </w:r>
            <w:r>
              <w:rPr>
                <w:rFonts w:hint="eastAsia" w:ascii="仿宋_GB2312" w:eastAsia="仿宋_GB2312" w:cs="Times New Roman"/>
                <w:bCs/>
                <w:color w:val="auto"/>
                <w:sz w:val="21"/>
                <w:szCs w:val="21"/>
                <w:highlight w:val="none"/>
                <w:lang w:val="en-US" w:eastAsia="zh-CN"/>
              </w:rPr>
              <w:t xml:space="preserve">                              </w:t>
            </w:r>
          </w:p>
          <w:p>
            <w:pPr>
              <w:spacing w:line="240" w:lineRule="auto"/>
              <w:rPr>
                <w:rFonts w:hint="eastAsia" w:ascii="仿宋_GB2312" w:hAnsi="Times New Roman" w:eastAsia="仿宋_GB2312" w:cs="Times New Roman"/>
                <w:bCs/>
                <w:color w:val="auto"/>
                <w:sz w:val="21"/>
                <w:szCs w:val="21"/>
                <w:highlight w:val="none"/>
                <w:lang w:val="en-US" w:eastAsia="zh-CN"/>
              </w:rPr>
            </w:pPr>
            <w:r>
              <w:rPr>
                <w:rFonts w:hint="eastAsia" w:ascii="仿宋_GB2312" w:hAnsi="Times New Roman" w:eastAsia="仿宋_GB2312" w:cs="Times New Roman"/>
                <w:bCs/>
                <w:color w:val="auto"/>
                <w:sz w:val="21"/>
                <w:szCs w:val="21"/>
                <w:highlight w:val="none"/>
                <w:lang w:val="en-US" w:eastAsia="zh-CN"/>
              </w:rPr>
              <w:t>（2）安全文明施工管理措施内容较完整，符合国家相关规范、规定要求，措施针对性较</w:t>
            </w:r>
            <w:r>
              <w:rPr>
                <w:rFonts w:hint="eastAsia" w:ascii="仿宋_GB2312" w:eastAsia="仿宋_GB2312" w:cs="Times New Roman"/>
                <w:bCs/>
                <w:color w:val="auto"/>
                <w:sz w:val="21"/>
                <w:szCs w:val="21"/>
                <w:highlight w:val="none"/>
                <w:lang w:val="en-US" w:eastAsia="zh-CN"/>
              </w:rPr>
              <w:t>一般</w:t>
            </w:r>
            <w:r>
              <w:rPr>
                <w:rFonts w:hint="eastAsia" w:ascii="仿宋_GB2312" w:hAnsi="Times New Roman" w:eastAsia="仿宋_GB2312" w:cs="Times New Roman"/>
                <w:bCs/>
                <w:color w:val="auto"/>
                <w:sz w:val="21"/>
                <w:szCs w:val="21"/>
                <w:highlight w:val="none"/>
                <w:lang w:val="en-US" w:eastAsia="zh-CN"/>
              </w:rPr>
              <w:t>、可操作性较</w:t>
            </w:r>
            <w:r>
              <w:rPr>
                <w:rFonts w:hint="eastAsia" w:ascii="仿宋_GB2312" w:eastAsia="仿宋_GB2312" w:cs="Times New Roman"/>
                <w:bCs/>
                <w:color w:val="auto"/>
                <w:sz w:val="21"/>
                <w:szCs w:val="21"/>
                <w:highlight w:val="none"/>
                <w:lang w:val="en-US" w:eastAsia="zh-CN"/>
              </w:rPr>
              <w:t>一般</w:t>
            </w:r>
            <w:r>
              <w:rPr>
                <w:rFonts w:hint="eastAsia" w:ascii="仿宋_GB2312" w:hAnsi="Times New Roman" w:eastAsia="仿宋_GB2312" w:cs="Times New Roman"/>
                <w:bCs/>
                <w:color w:val="auto"/>
                <w:sz w:val="21"/>
                <w:szCs w:val="21"/>
                <w:highlight w:val="none"/>
                <w:lang w:val="en-US" w:eastAsia="zh-CN"/>
              </w:rPr>
              <w:t xml:space="preserve">。            </w:t>
            </w:r>
            <w:r>
              <w:rPr>
                <w:rFonts w:hint="eastAsia" w:ascii="仿宋_GB2312" w:eastAsia="仿宋_GB2312" w:cs="Times New Roman"/>
                <w:bCs/>
                <w:color w:val="auto"/>
                <w:sz w:val="21"/>
                <w:szCs w:val="21"/>
                <w:highlight w:val="none"/>
                <w:lang w:val="en-US" w:eastAsia="zh-CN"/>
              </w:rPr>
              <w:t xml:space="preserve">                      </w:t>
            </w:r>
            <w:r>
              <w:rPr>
                <w:rFonts w:hint="eastAsia" w:ascii="仿宋_GB2312" w:hAnsi="Times New Roman" w:eastAsia="仿宋_GB2312" w:cs="Times New Roman"/>
                <w:bCs/>
                <w:color w:val="auto"/>
                <w:sz w:val="21"/>
                <w:szCs w:val="21"/>
                <w:highlight w:val="none"/>
                <w:lang w:val="en-US" w:eastAsia="zh-CN"/>
              </w:rPr>
              <w:t>（</w:t>
            </w:r>
            <w:r>
              <w:rPr>
                <w:rFonts w:hint="eastAsia" w:ascii="仿宋_GB2312" w:eastAsia="仿宋_GB2312" w:cs="Times New Roman"/>
                <w:bCs/>
                <w:color w:val="auto"/>
                <w:sz w:val="21"/>
                <w:szCs w:val="21"/>
                <w:highlight w:val="none"/>
                <w:lang w:val="en-US" w:eastAsia="zh-CN"/>
              </w:rPr>
              <w:t>1</w:t>
            </w:r>
            <w:r>
              <w:rPr>
                <w:rFonts w:hint="eastAsia" w:ascii="仿宋_GB2312" w:hAnsi="Times New Roman" w:eastAsia="仿宋_GB2312" w:cs="Times New Roman"/>
                <w:bCs/>
                <w:color w:val="auto"/>
                <w:sz w:val="21"/>
                <w:szCs w:val="21"/>
                <w:highlight w:val="none"/>
                <w:lang w:val="en-US" w:eastAsia="zh-CN"/>
              </w:rPr>
              <w:t>-</w:t>
            </w:r>
            <w:r>
              <w:rPr>
                <w:rFonts w:hint="eastAsia" w:ascii="仿宋_GB2312" w:eastAsia="仿宋_GB2312" w:cs="Times New Roman"/>
                <w:bCs/>
                <w:color w:val="auto"/>
                <w:sz w:val="21"/>
                <w:szCs w:val="21"/>
                <w:highlight w:val="none"/>
                <w:lang w:val="en-US" w:eastAsia="zh-CN"/>
              </w:rPr>
              <w:t>7</w:t>
            </w:r>
            <w:r>
              <w:rPr>
                <w:rFonts w:hint="eastAsia" w:ascii="仿宋_GB2312" w:hAnsi="Times New Roman" w:eastAsia="仿宋_GB2312" w:cs="Times New Roman"/>
                <w:bCs/>
                <w:color w:val="auto"/>
                <w:sz w:val="21"/>
                <w:szCs w:val="21"/>
                <w:highlight w:val="none"/>
                <w:lang w:val="en-US" w:eastAsia="zh-CN"/>
              </w:rPr>
              <w:t>分）</w:t>
            </w:r>
          </w:p>
          <w:p>
            <w:pPr>
              <w:pStyle w:val="2"/>
              <w:rPr>
                <w:rFonts w:hint="default"/>
                <w:lang w:val="en-US" w:eastAsia="zh-CN"/>
              </w:rPr>
            </w:pPr>
            <w:r>
              <w:rPr>
                <w:rFonts w:hint="eastAsia" w:ascii="仿宋_GB2312" w:eastAsia="仿宋_GB2312"/>
                <w:bCs/>
                <w:color w:val="auto"/>
                <w:sz w:val="21"/>
                <w:szCs w:val="21"/>
                <w:highlight w:val="none"/>
                <w:lang w:val="en-US" w:eastAsia="zh-CN"/>
              </w:rPr>
              <w:t>（3）</w:t>
            </w:r>
            <w:r>
              <w:rPr>
                <w:rFonts w:hint="default" w:ascii="仿宋_GB2312" w:hAnsi="Times New Roman" w:eastAsia="仿宋_GB2312" w:cs="Times New Roman"/>
                <w:color w:val="auto"/>
                <w:highlight w:val="none"/>
                <w:lang w:val="en-US" w:eastAsia="zh-CN"/>
              </w:rPr>
              <w:t>安全文明施工管理</w:t>
            </w:r>
            <w:r>
              <w:rPr>
                <w:rFonts w:hint="eastAsia" w:ascii="仿宋_GB2312" w:hAnsi="Times New Roman" w:eastAsia="仿宋_GB2312" w:cs="Times New Roman"/>
                <w:color w:val="auto"/>
                <w:highlight w:val="none"/>
                <w:lang w:val="en-US" w:eastAsia="zh-CN"/>
              </w:rPr>
              <w:t>措施</w:t>
            </w:r>
            <w:r>
              <w:rPr>
                <w:rFonts w:hint="eastAsia" w:ascii="仿宋_GB2312" w:eastAsia="仿宋_GB2312"/>
                <w:bCs/>
                <w:color w:val="auto"/>
                <w:sz w:val="21"/>
                <w:szCs w:val="21"/>
                <w:highlight w:val="none"/>
                <w:lang w:val="en-US" w:eastAsia="zh-CN"/>
              </w:rPr>
              <w:t>内容完整，符合国家相关规范、规定要求，措施针对性强、可操作性强。                                           （8-15分）</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Times New Roman" w:eastAsia="仿宋_GB2312" w:cs="Times New Roman"/>
                <w:color w:val="auto"/>
                <w:highlight w:val="none"/>
                <w:lang w:val="en-US" w:eastAsia="zh-CN"/>
              </w:rPr>
            </w:pPr>
            <w:r>
              <w:rPr>
                <w:rFonts w:hint="eastAsia" w:ascii="仿宋_GB2312" w:eastAsia="仿宋_GB2312" w:cs="Times New Roman"/>
                <w:color w:val="auto"/>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739" w:type="dxa"/>
            <w:tcBorders>
              <w:left w:val="single" w:color="auto" w:sz="4" w:space="0"/>
              <w:right w:val="single" w:color="auto" w:sz="4" w:space="0"/>
            </w:tcBorders>
            <w:vAlign w:val="center"/>
          </w:tcPr>
          <w:p>
            <w:pPr>
              <w:widowControl/>
              <w:jc w:val="center"/>
              <w:rPr>
                <w:rFonts w:hint="eastAsia" w:ascii="仿宋_GB2312" w:hAnsi="Times New Roman" w:eastAsia="仿宋_GB2312" w:cs="Times New Roman"/>
                <w:color w:val="auto"/>
                <w:kern w:val="2"/>
                <w:sz w:val="21"/>
                <w:szCs w:val="24"/>
                <w:highlight w:val="none"/>
                <w:lang w:val="en-US" w:eastAsia="zh-CN" w:bidi="ar-SA"/>
              </w:rPr>
            </w:pPr>
            <w:r>
              <w:rPr>
                <w:rFonts w:hint="eastAsia" w:ascii="仿宋_GB2312" w:eastAsia="仿宋_GB2312" w:cs="Times New Roman"/>
                <w:color w:val="auto"/>
                <w:highlight w:val="none"/>
                <w:lang w:val="en-US" w:eastAsia="zh-CN"/>
              </w:rPr>
              <w:t>5</w:t>
            </w:r>
          </w:p>
        </w:tc>
        <w:tc>
          <w:tcPr>
            <w:tcW w:w="8694" w:type="dxa"/>
            <w:gridSpan w:val="2"/>
            <w:tcBorders>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s="Times New Roman"/>
                <w:color w:val="auto"/>
                <w:highlight w:val="none"/>
              </w:rPr>
            </w:pPr>
            <w:r>
              <w:rPr>
                <w:rFonts w:hint="eastAsia" w:ascii="仿宋_GB2312" w:hAnsi="Times New Roman" w:eastAsia="仿宋_GB2312" w:cs="Times New Roman"/>
                <w:color w:val="auto"/>
                <w:highlight w:val="none"/>
              </w:rPr>
              <w:t>合    计</w:t>
            </w: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Times New Roman" w:eastAsia="仿宋_GB2312" w:cs="Times New Roman"/>
                <w:color w:val="auto"/>
                <w:highlight w:val="none"/>
              </w:rPr>
            </w:pPr>
            <w:r>
              <w:rPr>
                <w:rFonts w:hint="eastAsia" w:ascii="仿宋_GB2312" w:hAnsi="Times New Roman" w:eastAsia="仿宋_GB2312" w:cs="Times New Roman"/>
                <w:color w:val="auto"/>
                <w:highlight w:val="none"/>
              </w:rPr>
              <w:t>100</w:t>
            </w:r>
          </w:p>
        </w:tc>
      </w:tr>
    </w:tbl>
    <w:p>
      <w:pPr>
        <w:pStyle w:val="7"/>
        <w:rPr>
          <w:rFonts w:hint="eastAsia" w:ascii="仿宋_GB2312" w:hAnsi="仿宋_GB2312" w:eastAsia="仿宋_GB2312" w:cs="仿宋_GB2312"/>
          <w:b/>
          <w:bCs/>
          <w:color w:val="auto"/>
          <w:sz w:val="24"/>
          <w:szCs w:val="24"/>
          <w:highlight w:val="none"/>
          <w:lang w:val="en-US" w:eastAsia="zh-CN"/>
        </w:rPr>
      </w:pPr>
    </w:p>
    <w:p>
      <w:pPr>
        <w:rPr>
          <w:rFonts w:hint="eastAsia"/>
          <w:highlight w:val="none"/>
          <w:lang w:val="en-US" w:eastAsia="zh-CN"/>
        </w:rPr>
      </w:pPr>
      <w:bookmarkStart w:id="46" w:name="_Toc23746"/>
    </w:p>
    <w:p>
      <w:pPr>
        <w:pStyle w:val="4"/>
        <w:numPr>
          <w:ilvl w:val="0"/>
          <w:numId w:val="0"/>
        </w:numPr>
        <w:spacing w:line="360" w:lineRule="auto"/>
        <w:ind w:leftChars="0"/>
        <w:jc w:val="both"/>
        <w:rPr>
          <w:rFonts w:hint="eastAsia" w:asciiTheme="minorEastAsia" w:hAnsiTheme="minorEastAsia" w:eastAsiaTheme="minorEastAsia" w:cstheme="minorEastAsia"/>
          <w:highlight w:val="none"/>
          <w:lang w:val="en-US" w:eastAsia="zh-CN"/>
        </w:rPr>
      </w:pPr>
    </w:p>
    <w:p>
      <w:pPr>
        <w:pStyle w:val="4"/>
        <w:numPr>
          <w:ilvl w:val="0"/>
          <w:numId w:val="0"/>
        </w:numPr>
        <w:spacing w:line="360" w:lineRule="auto"/>
        <w:ind w:leftChars="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 xml:space="preserve">第五章 </w:t>
      </w:r>
      <w:r>
        <w:rPr>
          <w:rFonts w:hint="eastAsia" w:asciiTheme="minorEastAsia" w:hAnsiTheme="minorEastAsia" w:eastAsiaTheme="minorEastAsia" w:cstheme="minorEastAsia"/>
          <w:highlight w:val="none"/>
        </w:rPr>
        <w:t>编制比选申请文件</w:t>
      </w:r>
      <w:bookmarkEnd w:id="46"/>
    </w:p>
    <w:p>
      <w:pPr>
        <w:spacing w:line="360" w:lineRule="auto"/>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比选申请文件按本章要求编制。</w:t>
      </w:r>
    </w:p>
    <w:p>
      <w:pPr>
        <w:pStyle w:val="5"/>
        <w:numPr>
          <w:ilvl w:val="0"/>
          <w:numId w:val="0"/>
        </w:numPr>
        <w:tabs>
          <w:tab w:val="clear" w:pos="945"/>
        </w:tabs>
        <w:ind w:right="-630" w:rightChars="-300" w:firstLine="482" w:firstLineChars="200"/>
        <w:rPr>
          <w:rFonts w:hint="eastAsia" w:ascii="仿宋_GB2312" w:hAnsi="仿宋_GB2312" w:eastAsia="仿宋_GB2312" w:cs="仿宋_GB2312"/>
          <w:highlight w:val="none"/>
        </w:rPr>
      </w:pPr>
      <w:bookmarkStart w:id="47" w:name="_Toc355792441"/>
      <w:bookmarkStart w:id="48" w:name="_Toc355713699"/>
      <w:bookmarkStart w:id="49" w:name="_Toc355875839"/>
      <w:bookmarkStart w:id="50" w:name="_Toc355712555"/>
      <w:bookmarkStart w:id="51" w:name="_Toc355712668"/>
      <w:bookmarkStart w:id="52" w:name="_Toc355860714"/>
      <w:bookmarkStart w:id="53" w:name="_Toc10248"/>
      <w:r>
        <w:rPr>
          <w:rFonts w:hint="eastAsia" w:ascii="仿宋_GB2312" w:hAnsi="仿宋_GB2312" w:eastAsia="仿宋_GB2312" w:cs="仿宋_GB2312"/>
          <w:highlight w:val="none"/>
        </w:rPr>
        <w:t>比选申请文件的组成</w:t>
      </w:r>
      <w:bookmarkEnd w:id="47"/>
      <w:bookmarkEnd w:id="48"/>
      <w:bookmarkEnd w:id="49"/>
      <w:bookmarkEnd w:id="50"/>
      <w:bookmarkEnd w:id="51"/>
      <w:bookmarkEnd w:id="52"/>
      <w:bookmarkEnd w:id="53"/>
    </w:p>
    <w:p>
      <w:pPr>
        <w:spacing w:line="360" w:lineRule="auto"/>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比选申请人应按比选文件规定的内容和格式编制并提交比选申请文件，比选申请文件应包括：</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一</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比选申请文件封面；</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二</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比选报价书；</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三</w:t>
      </w:r>
      <w:r>
        <w:rPr>
          <w:rFonts w:hint="eastAsia" w:ascii="仿宋_GB2312" w:hAnsi="仿宋_GB2312" w:eastAsia="仿宋_GB2312" w:cs="仿宋_GB2312"/>
          <w:sz w:val="24"/>
          <w:highlight w:val="none"/>
          <w:lang w:eastAsia="zh-CN"/>
        </w:rPr>
        <w:t>）授权委托书；</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（四）</w:t>
      </w:r>
      <w:r>
        <w:rPr>
          <w:rFonts w:hint="eastAsia" w:ascii="仿宋_GB2312" w:hAnsi="仿宋_GB2312" w:eastAsia="仿宋_GB2312" w:cs="仿宋_GB2312"/>
          <w:sz w:val="24"/>
          <w:highlight w:val="none"/>
          <w:lang w:eastAsia="zh-CN"/>
        </w:rPr>
        <w:t>比选申请人承诺函；</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五</w:t>
      </w:r>
      <w:r>
        <w:rPr>
          <w:rFonts w:hint="eastAsia" w:ascii="仿宋_GB2312" w:hAnsi="仿宋_GB2312" w:eastAsia="仿宋_GB2312" w:cs="仿宋_GB2312"/>
          <w:sz w:val="24"/>
          <w:highlight w:val="none"/>
          <w:lang w:eastAsia="zh-CN"/>
        </w:rPr>
        <w:t>）资格审查资料；</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六</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业绩；</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七</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检修措施</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 xml:space="preserve">         </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（八）安全文明施工管理；</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val="en-US" w:eastAsia="zh-CN"/>
        </w:rPr>
      </w:pP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 xml:space="preserve">              </w:t>
      </w: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eastAsia="zh-CN"/>
        </w:rPr>
      </w:pPr>
    </w:p>
    <w:p>
      <w:pPr>
        <w:numPr>
          <w:ilvl w:val="0"/>
          <w:numId w:val="0"/>
        </w:numPr>
        <w:tabs>
          <w:tab w:val="left" w:pos="482"/>
        </w:tabs>
        <w:spacing w:line="360" w:lineRule="auto"/>
        <w:ind w:left="480" w:leftChars="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br w:type="page"/>
      </w:r>
    </w:p>
    <w:p>
      <w:pPr>
        <w:pStyle w:val="5"/>
        <w:numPr>
          <w:ilvl w:val="0"/>
          <w:numId w:val="0"/>
        </w:numPr>
        <w:tabs>
          <w:tab w:val="clear" w:pos="945"/>
        </w:tabs>
        <w:ind w:right="-630" w:rightChars="-300"/>
        <w:rPr>
          <w:rFonts w:hint="eastAsia" w:asciiTheme="minorEastAsia" w:hAnsiTheme="minorEastAsia" w:eastAsiaTheme="minorEastAsia" w:cstheme="minorEastAsia"/>
          <w:sz w:val="18"/>
          <w:szCs w:val="18"/>
          <w:highlight w:val="none"/>
        </w:rPr>
      </w:pPr>
      <w:bookmarkStart w:id="54" w:name="_Toc23571"/>
      <w:bookmarkStart w:id="55" w:name="_Toc30327"/>
      <w:bookmarkStart w:id="56" w:name="_Toc1223"/>
      <w:bookmarkStart w:id="57" w:name="_Toc22514"/>
      <w:r>
        <w:rPr>
          <w:rFonts w:hint="eastAsia" w:asciiTheme="minorEastAsia" w:hAnsiTheme="minorEastAsia" w:eastAsiaTheme="minorEastAsia" w:cstheme="minorEastAsia"/>
          <w:bCs/>
          <w:sz w:val="18"/>
          <w:szCs w:val="18"/>
          <w:highlight w:val="none"/>
          <w:lang w:val="en-US" w:eastAsia="zh-CN"/>
        </w:rPr>
        <w:t>一、</w:t>
      </w:r>
      <w:r>
        <w:rPr>
          <w:rFonts w:hint="eastAsia" w:asciiTheme="minorEastAsia" w:hAnsiTheme="minorEastAsia" w:eastAsiaTheme="minorEastAsia" w:cstheme="minorEastAsia"/>
          <w:sz w:val="18"/>
          <w:szCs w:val="18"/>
          <w:highlight w:val="none"/>
        </w:rPr>
        <w:t>比选申请文件封面</w:t>
      </w:r>
      <w:bookmarkEnd w:id="54"/>
      <w:bookmarkEnd w:id="55"/>
      <w:bookmarkEnd w:id="56"/>
    </w:p>
    <w:p>
      <w:pPr>
        <w:spacing w:line="360" w:lineRule="auto"/>
        <w:jc w:val="center"/>
        <w:rPr>
          <w:rFonts w:hint="eastAsia" w:asciiTheme="minorEastAsia" w:hAnsiTheme="minorEastAsia" w:eastAsiaTheme="minorEastAsia" w:cstheme="minorEastAsia"/>
          <w:b/>
          <w:bCs/>
          <w:sz w:val="44"/>
          <w:szCs w:val="44"/>
          <w:highlight w:val="none"/>
          <w:lang w:eastAsia="zh-CN"/>
        </w:rPr>
      </w:pPr>
      <w:r>
        <w:rPr>
          <w:rFonts w:hint="eastAsia" w:asciiTheme="minorEastAsia" w:hAnsiTheme="minorEastAsia" w:eastAsiaTheme="minorEastAsia" w:cstheme="minorEastAsia"/>
          <w:b/>
          <w:bCs/>
          <w:sz w:val="44"/>
          <w:szCs w:val="44"/>
          <w:highlight w:val="none"/>
          <w:lang w:eastAsia="zh-CN"/>
        </w:rPr>
        <w:t>川投（达州）燃气发电有限公司</w:t>
      </w:r>
    </w:p>
    <w:p>
      <w:pPr>
        <w:spacing w:line="360" w:lineRule="auto"/>
        <w:jc w:val="center"/>
        <w:rPr>
          <w:rFonts w:hint="eastAsia" w:asciiTheme="minorEastAsia" w:hAnsiTheme="minorEastAsia" w:eastAsiaTheme="minorEastAsia" w:cstheme="minorEastAsia"/>
          <w:b/>
          <w:sz w:val="44"/>
          <w:szCs w:val="44"/>
          <w:highlight w:val="none"/>
          <w:lang w:val="en-US" w:eastAsia="zh-CN"/>
        </w:rPr>
      </w:pPr>
      <w:r>
        <w:rPr>
          <w:rFonts w:hint="eastAsia" w:asciiTheme="minorEastAsia" w:hAnsiTheme="minorEastAsia" w:eastAsiaTheme="minorEastAsia" w:cstheme="minorEastAsia"/>
          <w:b/>
          <w:sz w:val="44"/>
          <w:szCs w:val="44"/>
          <w:highlight w:val="none"/>
          <w:lang w:val="en-US" w:eastAsia="zh-CN"/>
        </w:rPr>
        <w:t>220kV升压站#1主变间隔、#2主变间隔、启备变间隔、母联间隔、燃州线间隔以及燃化线间隔悬式绝缘子、耐张绝缘子检修</w:t>
      </w:r>
    </w:p>
    <w:p>
      <w:pPr>
        <w:pStyle w:val="7"/>
        <w:rPr>
          <w:rFonts w:hint="eastAsia"/>
          <w:highlight w:val="none"/>
          <w:lang w:val="en-US" w:eastAsia="zh-CN"/>
        </w:rPr>
      </w:pPr>
    </w:p>
    <w:p>
      <w:pPr>
        <w:spacing w:line="360" w:lineRule="auto"/>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比</w:t>
      </w:r>
    </w:p>
    <w:p>
      <w:pPr>
        <w:pStyle w:val="7"/>
        <w:rPr>
          <w:rFonts w:hint="eastAsia"/>
          <w:highlight w:val="none"/>
        </w:rPr>
      </w:pPr>
    </w:p>
    <w:p>
      <w:pPr>
        <w:spacing w:line="360" w:lineRule="auto"/>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选</w:t>
      </w:r>
    </w:p>
    <w:p>
      <w:pPr>
        <w:pStyle w:val="7"/>
        <w:rPr>
          <w:rFonts w:hint="eastAsia"/>
          <w:highlight w:val="none"/>
          <w:lang w:val="en-US" w:eastAsia="zh-CN"/>
        </w:rPr>
      </w:pPr>
    </w:p>
    <w:p>
      <w:pPr>
        <w:spacing w:line="360" w:lineRule="auto"/>
        <w:jc w:val="center"/>
        <w:rPr>
          <w:rFonts w:hint="eastAsia" w:asciiTheme="minorEastAsia" w:hAnsiTheme="minorEastAsia" w:eastAsiaTheme="minorEastAsia" w:cstheme="minorEastAsia"/>
          <w:b/>
          <w:bCs/>
          <w:sz w:val="72"/>
          <w:szCs w:val="72"/>
          <w:highlight w:val="none"/>
          <w:lang w:val="en-US" w:eastAsia="zh-CN"/>
        </w:rPr>
      </w:pPr>
      <w:r>
        <w:rPr>
          <w:rFonts w:hint="eastAsia" w:asciiTheme="minorEastAsia" w:hAnsiTheme="minorEastAsia" w:eastAsiaTheme="minorEastAsia" w:cstheme="minorEastAsia"/>
          <w:b/>
          <w:bCs/>
          <w:sz w:val="72"/>
          <w:szCs w:val="72"/>
          <w:highlight w:val="none"/>
          <w:lang w:val="en-US" w:eastAsia="zh-CN"/>
        </w:rPr>
        <w:t>申</w:t>
      </w:r>
    </w:p>
    <w:p>
      <w:pPr>
        <w:pStyle w:val="7"/>
        <w:rPr>
          <w:rFonts w:hint="eastAsia"/>
          <w:highlight w:val="none"/>
          <w:lang w:val="en-US" w:eastAsia="zh-CN"/>
        </w:rPr>
      </w:pPr>
    </w:p>
    <w:p>
      <w:pPr>
        <w:spacing w:line="360" w:lineRule="auto"/>
        <w:jc w:val="center"/>
        <w:rPr>
          <w:rFonts w:hint="eastAsia" w:asciiTheme="minorEastAsia" w:hAnsiTheme="minorEastAsia" w:eastAsiaTheme="minorEastAsia" w:cstheme="minorEastAsia"/>
          <w:b/>
          <w:bCs/>
          <w:sz w:val="72"/>
          <w:szCs w:val="72"/>
          <w:highlight w:val="none"/>
          <w:lang w:val="en-US" w:eastAsia="zh-CN"/>
        </w:rPr>
      </w:pPr>
      <w:r>
        <w:rPr>
          <w:rFonts w:hint="eastAsia" w:asciiTheme="minorEastAsia" w:hAnsiTheme="minorEastAsia" w:eastAsiaTheme="minorEastAsia" w:cstheme="minorEastAsia"/>
          <w:b/>
          <w:bCs/>
          <w:sz w:val="72"/>
          <w:szCs w:val="72"/>
          <w:highlight w:val="none"/>
          <w:lang w:val="en-US" w:eastAsia="zh-CN"/>
        </w:rPr>
        <w:t>请</w:t>
      </w:r>
    </w:p>
    <w:p>
      <w:pPr>
        <w:pStyle w:val="7"/>
        <w:rPr>
          <w:rFonts w:hint="eastAsia"/>
          <w:highlight w:val="none"/>
        </w:rPr>
      </w:pPr>
    </w:p>
    <w:p>
      <w:pPr>
        <w:spacing w:line="360" w:lineRule="auto"/>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文</w:t>
      </w:r>
    </w:p>
    <w:p>
      <w:pPr>
        <w:pStyle w:val="7"/>
        <w:rPr>
          <w:rFonts w:hint="eastAsia"/>
          <w:highlight w:val="none"/>
        </w:rPr>
      </w:pPr>
    </w:p>
    <w:p>
      <w:pPr>
        <w:spacing w:line="360" w:lineRule="auto"/>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件</w:t>
      </w:r>
    </w:p>
    <w:p>
      <w:pPr>
        <w:pStyle w:val="7"/>
        <w:rPr>
          <w:rFonts w:hint="eastAsia"/>
          <w:highlight w:val="none"/>
        </w:rPr>
      </w:pPr>
    </w:p>
    <w:p>
      <w:pPr>
        <w:spacing w:line="360" w:lineRule="auto"/>
        <w:rPr>
          <w:rFonts w:hint="eastAsia" w:asciiTheme="minorEastAsia" w:hAnsiTheme="minorEastAsia" w:eastAsiaTheme="minorEastAsia" w:cstheme="minorEastAsia"/>
          <w:bCs/>
          <w:sz w:val="32"/>
          <w:szCs w:val="32"/>
          <w:highlight w:val="none"/>
          <w:u w:val="single"/>
          <w:lang w:eastAsia="zh-CN"/>
        </w:rPr>
      </w:pPr>
      <w:r>
        <w:rPr>
          <w:rFonts w:hint="eastAsia" w:asciiTheme="minorEastAsia" w:hAnsiTheme="minorEastAsia" w:eastAsiaTheme="minorEastAsia" w:cstheme="minorEastAsia"/>
          <w:b/>
          <w:bCs/>
          <w:sz w:val="32"/>
          <w:szCs w:val="32"/>
          <w:highlight w:val="none"/>
        </w:rPr>
        <w:t xml:space="preserve"> </w:t>
      </w:r>
      <w:r>
        <w:rPr>
          <w:rFonts w:hint="eastAsia" w:asciiTheme="minorEastAsia" w:hAnsiTheme="minorEastAsia" w:eastAsiaTheme="minorEastAsia" w:cstheme="minorEastAsia"/>
          <w:b/>
          <w:bCs/>
          <w:sz w:val="32"/>
          <w:szCs w:val="32"/>
          <w:highlight w:val="none"/>
          <w:lang w:val="en-US" w:eastAsia="zh-CN"/>
        </w:rPr>
        <w:t xml:space="preserve">      </w:t>
      </w:r>
      <w:r>
        <w:rPr>
          <w:rFonts w:hint="eastAsia" w:asciiTheme="minorEastAsia" w:hAnsiTheme="minorEastAsia" w:eastAsiaTheme="minorEastAsia" w:cstheme="minorEastAsia"/>
          <w:b/>
          <w:bCs/>
          <w:sz w:val="32"/>
          <w:szCs w:val="32"/>
          <w:highlight w:val="none"/>
        </w:rPr>
        <w:t>比选</w:t>
      </w:r>
      <w:r>
        <w:rPr>
          <w:rFonts w:hint="eastAsia" w:asciiTheme="minorEastAsia" w:hAnsiTheme="minorEastAsia" w:eastAsiaTheme="minorEastAsia" w:cstheme="minorEastAsia"/>
          <w:b/>
          <w:bCs/>
          <w:sz w:val="32"/>
          <w:szCs w:val="32"/>
          <w:highlight w:val="none"/>
          <w:lang w:val="en-US" w:eastAsia="zh-CN"/>
        </w:rPr>
        <w:t>申请人</w:t>
      </w:r>
      <w:r>
        <w:rPr>
          <w:rFonts w:hint="eastAsia" w:asciiTheme="minorEastAsia" w:hAnsiTheme="minorEastAsia" w:eastAsiaTheme="minorEastAsia" w:cstheme="minorEastAsia"/>
          <w:b/>
          <w:bCs/>
          <w:sz w:val="32"/>
          <w:szCs w:val="32"/>
          <w:highlight w:val="none"/>
        </w:rPr>
        <w:t xml:space="preserve">: </w:t>
      </w:r>
      <w:r>
        <w:rPr>
          <w:rFonts w:hint="eastAsia" w:asciiTheme="minorEastAsia" w:hAnsiTheme="minorEastAsia" w:eastAsiaTheme="minorEastAsia" w:cstheme="minorEastAsia"/>
          <w:b/>
          <w:bCs/>
          <w:sz w:val="32"/>
          <w:szCs w:val="32"/>
          <w:highlight w:val="none"/>
          <w:u w:val="single"/>
          <w:lang w:val="en-US" w:eastAsia="zh-CN"/>
        </w:rPr>
        <w:t xml:space="preserve">                      </w:t>
      </w:r>
      <w:r>
        <w:rPr>
          <w:rFonts w:hint="eastAsia" w:asciiTheme="minorEastAsia" w:hAnsiTheme="minorEastAsia" w:eastAsiaTheme="minorEastAsia" w:cstheme="minorEastAsia"/>
          <w:bCs/>
          <w:sz w:val="32"/>
          <w:szCs w:val="32"/>
          <w:highlight w:val="none"/>
          <w:u w:val="single"/>
        </w:rPr>
        <w:t>（盖章</w:t>
      </w:r>
      <w:r>
        <w:rPr>
          <w:rFonts w:hint="eastAsia" w:asciiTheme="minorEastAsia" w:hAnsiTheme="minorEastAsia" w:eastAsiaTheme="minorEastAsia" w:cstheme="minorEastAsia"/>
          <w:bCs/>
          <w:sz w:val="32"/>
          <w:szCs w:val="32"/>
          <w:highlight w:val="none"/>
          <w:u w:val="single"/>
          <w:lang w:eastAsia="zh-CN"/>
        </w:rPr>
        <w:t>）</w:t>
      </w:r>
    </w:p>
    <w:p>
      <w:pPr>
        <w:spacing w:line="360" w:lineRule="auto"/>
        <w:jc w:val="both"/>
        <w:rPr>
          <w:rFonts w:hint="eastAsia" w:asciiTheme="minorEastAsia" w:hAnsiTheme="minorEastAsia" w:eastAsiaTheme="minorEastAsia" w:cstheme="minorEastAsia"/>
          <w:b/>
          <w:bCs/>
          <w:sz w:val="32"/>
          <w:szCs w:val="32"/>
          <w:highlight w:val="none"/>
        </w:rPr>
      </w:pPr>
    </w:p>
    <w:p>
      <w:pPr>
        <w:spacing w:line="360" w:lineRule="auto"/>
        <w:jc w:val="cente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sz w:val="32"/>
          <w:szCs w:val="32"/>
          <w:highlight w:val="none"/>
        </w:rPr>
        <w:t>二0</w:t>
      </w:r>
      <w:r>
        <w:rPr>
          <w:rFonts w:hint="eastAsia" w:asciiTheme="minorEastAsia" w:hAnsiTheme="minorEastAsia" w:eastAsiaTheme="minorEastAsia" w:cstheme="minorEastAsia"/>
          <w:b/>
          <w:bCs/>
          <w:sz w:val="32"/>
          <w:szCs w:val="32"/>
          <w:highlight w:val="none"/>
          <w:lang w:val="en-US" w:eastAsia="zh-CN"/>
        </w:rPr>
        <w:t>二四</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一</w:t>
      </w:r>
      <w:r>
        <w:rPr>
          <w:rFonts w:hint="eastAsia" w:asciiTheme="minorEastAsia" w:hAnsiTheme="minorEastAsia" w:eastAsiaTheme="minorEastAsia" w:cstheme="minorEastAsia"/>
          <w:b/>
          <w:bCs/>
          <w:sz w:val="32"/>
          <w:szCs w:val="32"/>
          <w:highlight w:val="none"/>
        </w:rPr>
        <w:t>月</w:t>
      </w:r>
    </w:p>
    <w:p>
      <w:pPr>
        <w:pStyle w:val="5"/>
        <w:numPr>
          <w:ilvl w:val="0"/>
          <w:numId w:val="0"/>
        </w:numPr>
        <w:tabs>
          <w:tab w:val="clear" w:pos="945"/>
        </w:tabs>
        <w:ind w:right="-630" w:rightChars="-3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二、</w:t>
      </w:r>
      <w:r>
        <w:rPr>
          <w:rFonts w:hint="eastAsia" w:asciiTheme="minorEastAsia" w:hAnsiTheme="minorEastAsia" w:eastAsiaTheme="minorEastAsia" w:cstheme="minorEastAsia"/>
          <w:highlight w:val="none"/>
        </w:rPr>
        <w:t>比选报价书</w:t>
      </w:r>
      <w:bookmarkEnd w:id="0"/>
      <w:bookmarkEnd w:id="1"/>
      <w:bookmarkEnd w:id="2"/>
      <w:bookmarkEnd w:id="3"/>
      <w:bookmarkEnd w:id="57"/>
    </w:p>
    <w:p>
      <w:pPr>
        <w:pStyle w:val="33"/>
        <w:spacing w:after="156" w:line="4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比选报价书</w:t>
      </w:r>
    </w:p>
    <w:p>
      <w:pPr>
        <w:spacing w:line="400" w:lineRule="exact"/>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rPr>
        <w:t>致：</w:t>
      </w:r>
      <w:r>
        <w:rPr>
          <w:rFonts w:hint="eastAsia" w:ascii="仿宋_GB2312" w:hAnsi="仿宋_GB2312" w:eastAsia="仿宋_GB2312" w:cs="仿宋_GB2312"/>
          <w:bCs/>
          <w:sz w:val="24"/>
          <w:highlight w:val="none"/>
          <w:lang w:eastAsia="zh-CN"/>
        </w:rPr>
        <w:t>川投（达州）燃气发电有限公司</w:t>
      </w:r>
    </w:p>
    <w:p>
      <w:pPr>
        <w:pStyle w:val="14"/>
        <w:numPr>
          <w:ilvl w:val="0"/>
          <w:numId w:val="6"/>
        </w:numPr>
        <w:spacing w:line="400" w:lineRule="exact"/>
        <w:ind w:firstLine="420"/>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我方已仔细研究</w:t>
      </w:r>
      <w:r>
        <w:rPr>
          <w:rFonts w:hint="eastAsia" w:ascii="仿宋_GB2312" w:hAnsi="仿宋_GB2312" w:eastAsia="仿宋_GB2312" w:cs="仿宋_GB2312"/>
          <w:bCs/>
          <w:sz w:val="24"/>
          <w:szCs w:val="24"/>
          <w:highlight w:val="none"/>
          <w:lang w:val="en-US" w:eastAsia="zh-CN"/>
        </w:rPr>
        <w:t>了</w:t>
      </w:r>
      <w:r>
        <w:rPr>
          <w:rFonts w:hint="eastAsia" w:ascii="仿宋_GB2312" w:hAnsi="仿宋_GB2312" w:eastAsia="仿宋_GB2312" w:cs="仿宋_GB2312"/>
          <w:b/>
          <w:bCs w:val="0"/>
          <w:sz w:val="24"/>
          <w:szCs w:val="24"/>
          <w:highlight w:val="none"/>
          <w:u w:val="single"/>
          <w:lang w:val="en-US" w:eastAsia="zh-CN"/>
        </w:rPr>
        <w:t>220kV升压站#1主变间隔、#2主变间隔、启备变间隔、母联间隔、燃州线间隔以及燃化线间隔悬式绝缘子、耐张绝缘子检修服务单位选聘</w:t>
      </w:r>
      <w:r>
        <w:rPr>
          <w:rFonts w:hint="eastAsia" w:ascii="仿宋_GB2312" w:hAnsi="仿宋_GB2312" w:eastAsia="仿宋_GB2312" w:cs="仿宋_GB2312"/>
          <w:bCs/>
          <w:sz w:val="24"/>
          <w:szCs w:val="24"/>
          <w:highlight w:val="none"/>
        </w:rPr>
        <w:t>比选文件（包括补充通知）的全部内容，</w:t>
      </w:r>
      <w:r>
        <w:rPr>
          <w:rFonts w:hint="eastAsia" w:ascii="仿宋_GB2312" w:eastAsia="仿宋_GB2312"/>
          <w:bCs/>
          <w:color w:val="auto"/>
          <w:sz w:val="24"/>
          <w:szCs w:val="24"/>
          <w:highlight w:val="none"/>
        </w:rPr>
        <w:t>我方愿意以风险包干</w:t>
      </w:r>
      <w:r>
        <w:rPr>
          <w:rFonts w:hint="eastAsia" w:ascii="仿宋_GB2312" w:eastAsia="仿宋_GB2312"/>
          <w:bCs/>
          <w:color w:val="auto"/>
          <w:sz w:val="24"/>
          <w:szCs w:val="24"/>
          <w:highlight w:val="none"/>
          <w:lang w:val="en-US" w:eastAsia="zh-CN"/>
        </w:rPr>
        <w:t>检修</w:t>
      </w:r>
      <w:r>
        <w:rPr>
          <w:rFonts w:hint="eastAsia" w:ascii="仿宋_GB2312" w:eastAsia="仿宋_GB2312"/>
          <w:bCs/>
          <w:color w:val="auto"/>
          <w:sz w:val="24"/>
          <w:szCs w:val="24"/>
          <w:highlight w:val="none"/>
        </w:rPr>
        <w:t>金额￥</w:t>
      </w:r>
      <w:r>
        <w:rPr>
          <w:rFonts w:hint="eastAsia" w:ascii="仿宋_GB2312" w:eastAsia="仿宋_GB2312"/>
          <w:bCs/>
          <w:color w:val="auto"/>
          <w:sz w:val="24"/>
          <w:szCs w:val="24"/>
          <w:highlight w:val="none"/>
          <w:u w:val="single"/>
        </w:rPr>
        <w:t xml:space="preserve">         </w:t>
      </w:r>
      <w:r>
        <w:rPr>
          <w:rFonts w:hint="eastAsia" w:ascii="仿宋_GB2312" w:eastAsia="仿宋_GB2312"/>
          <w:bCs/>
          <w:color w:val="auto"/>
          <w:sz w:val="24"/>
          <w:szCs w:val="24"/>
          <w:highlight w:val="none"/>
        </w:rPr>
        <w:t>（大写）</w:t>
      </w:r>
      <w:r>
        <w:rPr>
          <w:rFonts w:hint="eastAsia" w:ascii="仿宋_GB2312" w:eastAsia="仿宋_GB2312"/>
          <w:bCs/>
          <w:color w:val="auto"/>
          <w:sz w:val="24"/>
          <w:szCs w:val="24"/>
          <w:highlight w:val="none"/>
          <w:u w:val="single"/>
        </w:rPr>
        <w:t xml:space="preserve">     </w:t>
      </w:r>
      <w:r>
        <w:rPr>
          <w:rFonts w:hint="eastAsia" w:ascii="仿宋_GB2312" w:eastAsia="仿宋_GB2312"/>
          <w:bCs/>
          <w:color w:val="auto"/>
          <w:sz w:val="24"/>
          <w:szCs w:val="24"/>
          <w:highlight w:val="none"/>
          <w:u w:val="single"/>
          <w:lang w:val="en-US" w:eastAsia="zh-CN"/>
        </w:rPr>
        <w:t xml:space="preserve">          </w:t>
      </w:r>
      <w:r>
        <w:rPr>
          <w:rFonts w:hint="eastAsia" w:ascii="仿宋_GB2312" w:eastAsia="仿宋_GB2312"/>
          <w:bCs/>
          <w:color w:val="auto"/>
          <w:sz w:val="24"/>
          <w:szCs w:val="24"/>
          <w:highlight w:val="none"/>
          <w:u w:val="single"/>
        </w:rPr>
        <w:t xml:space="preserve"> </w:t>
      </w:r>
      <w:r>
        <w:rPr>
          <w:rFonts w:hint="eastAsia" w:ascii="仿宋_GB2312" w:eastAsia="仿宋_GB2312"/>
          <w:bCs/>
          <w:color w:val="auto"/>
          <w:sz w:val="24"/>
          <w:szCs w:val="24"/>
          <w:highlight w:val="none"/>
        </w:rPr>
        <w:t>，</w:t>
      </w:r>
      <w:r>
        <w:rPr>
          <w:rFonts w:hint="eastAsia" w:ascii="仿宋_GB2312" w:eastAsia="仿宋_GB2312"/>
          <w:bCs/>
          <w:color w:val="auto"/>
          <w:sz w:val="24"/>
          <w:szCs w:val="24"/>
          <w:highlight w:val="none"/>
          <w:lang w:val="en-US" w:eastAsia="zh-CN"/>
        </w:rPr>
        <w:t>更换绝缘子￥</w:t>
      </w:r>
      <w:r>
        <w:rPr>
          <w:rFonts w:hint="eastAsia" w:ascii="仿宋_GB2312" w:eastAsia="仿宋_GB2312"/>
          <w:bCs/>
          <w:color w:val="auto"/>
          <w:sz w:val="24"/>
          <w:szCs w:val="24"/>
          <w:highlight w:val="none"/>
          <w:u w:val="single"/>
          <w:lang w:val="en-US" w:eastAsia="zh-CN"/>
        </w:rPr>
        <w:t xml:space="preserve">           </w:t>
      </w:r>
      <w:r>
        <w:rPr>
          <w:rFonts w:hint="eastAsia" w:ascii="仿宋_GB2312" w:eastAsia="仿宋_GB2312"/>
          <w:bCs/>
          <w:color w:val="auto"/>
          <w:sz w:val="24"/>
          <w:szCs w:val="24"/>
          <w:highlight w:val="none"/>
          <w:u w:val="none"/>
          <w:lang w:val="en-US" w:eastAsia="zh-CN"/>
        </w:rPr>
        <w:t>元/暂定20串（据实结算），合计</w:t>
      </w:r>
      <w:r>
        <w:rPr>
          <w:rFonts w:hint="eastAsia" w:ascii="仿宋_GB2312" w:eastAsia="仿宋_GB2312"/>
          <w:bCs/>
          <w:color w:val="auto"/>
          <w:sz w:val="24"/>
          <w:szCs w:val="24"/>
          <w:highlight w:val="none"/>
        </w:rPr>
        <w:t>￥</w:t>
      </w:r>
      <w:r>
        <w:rPr>
          <w:rFonts w:hint="eastAsia" w:ascii="仿宋_GB2312" w:eastAsia="仿宋_GB2312"/>
          <w:bCs/>
          <w:color w:val="auto"/>
          <w:sz w:val="24"/>
          <w:szCs w:val="24"/>
          <w:highlight w:val="none"/>
          <w:u w:val="single"/>
        </w:rPr>
        <w:t xml:space="preserve">      </w:t>
      </w:r>
      <w:r>
        <w:rPr>
          <w:rFonts w:hint="eastAsia" w:ascii="仿宋_GB2312" w:eastAsia="仿宋_GB2312"/>
          <w:bCs/>
          <w:color w:val="auto"/>
          <w:sz w:val="24"/>
          <w:szCs w:val="24"/>
          <w:highlight w:val="none"/>
          <w:u w:val="single"/>
          <w:lang w:val="en-US" w:eastAsia="zh-CN"/>
        </w:rPr>
        <w:t xml:space="preserve">  </w:t>
      </w:r>
      <w:r>
        <w:rPr>
          <w:rFonts w:hint="eastAsia" w:ascii="仿宋_GB2312" w:eastAsia="仿宋_GB2312"/>
          <w:bCs/>
          <w:color w:val="auto"/>
          <w:sz w:val="24"/>
          <w:szCs w:val="24"/>
          <w:highlight w:val="none"/>
          <w:u w:val="single"/>
        </w:rPr>
        <w:t xml:space="preserve">    </w:t>
      </w:r>
      <w:r>
        <w:rPr>
          <w:rFonts w:hint="eastAsia" w:ascii="仿宋_GB2312" w:eastAsia="仿宋_GB2312"/>
          <w:bCs/>
          <w:color w:val="auto"/>
          <w:sz w:val="24"/>
          <w:szCs w:val="24"/>
          <w:highlight w:val="none"/>
          <w:u w:val="single"/>
          <w:lang w:val="en-US" w:eastAsia="zh-CN"/>
        </w:rPr>
        <w:t xml:space="preserve">   </w:t>
      </w:r>
      <w:r>
        <w:rPr>
          <w:rFonts w:hint="eastAsia" w:ascii="仿宋_GB2312" w:eastAsia="仿宋_GB2312"/>
          <w:bCs/>
          <w:color w:val="auto"/>
          <w:sz w:val="24"/>
          <w:szCs w:val="24"/>
          <w:highlight w:val="none"/>
          <w:u w:val="single"/>
        </w:rPr>
        <w:t xml:space="preserve"> </w:t>
      </w:r>
      <w:r>
        <w:rPr>
          <w:rFonts w:hint="eastAsia" w:ascii="仿宋_GB2312" w:eastAsia="仿宋_GB2312"/>
          <w:bCs/>
          <w:color w:val="auto"/>
          <w:sz w:val="24"/>
          <w:szCs w:val="24"/>
          <w:highlight w:val="none"/>
          <w:u w:val="none"/>
          <w:lang w:eastAsia="zh-CN"/>
        </w:rPr>
        <w:t>（</w:t>
      </w:r>
      <w:r>
        <w:rPr>
          <w:rFonts w:hint="eastAsia" w:ascii="仿宋_GB2312" w:eastAsia="仿宋_GB2312"/>
          <w:bCs/>
          <w:color w:val="auto"/>
          <w:sz w:val="24"/>
          <w:szCs w:val="24"/>
          <w:highlight w:val="none"/>
          <w:u w:val="none"/>
          <w:lang w:val="en-US" w:eastAsia="zh-CN"/>
        </w:rPr>
        <w:t>大写：</w:t>
      </w:r>
      <w:r>
        <w:rPr>
          <w:rFonts w:hint="eastAsia" w:ascii="仿宋_GB2312" w:eastAsia="仿宋_GB2312"/>
          <w:bCs/>
          <w:color w:val="auto"/>
          <w:sz w:val="24"/>
          <w:szCs w:val="24"/>
          <w:highlight w:val="none"/>
          <w:u w:val="single"/>
          <w:lang w:val="en-US" w:eastAsia="zh-CN"/>
        </w:rPr>
        <w:t xml:space="preserve">             </w:t>
      </w:r>
      <w:r>
        <w:rPr>
          <w:rFonts w:hint="eastAsia" w:ascii="仿宋_GB2312" w:eastAsia="仿宋_GB2312"/>
          <w:bCs/>
          <w:color w:val="auto"/>
          <w:sz w:val="24"/>
          <w:szCs w:val="24"/>
          <w:highlight w:val="none"/>
          <w:u w:val="none"/>
          <w:lang w:eastAsia="zh-CN"/>
        </w:rPr>
        <w:t>）</w:t>
      </w:r>
      <w:r>
        <w:rPr>
          <w:rFonts w:hint="eastAsia" w:ascii="仿宋_GB2312" w:eastAsia="仿宋_GB2312"/>
          <w:bCs/>
          <w:color w:val="auto"/>
          <w:sz w:val="24"/>
          <w:szCs w:val="24"/>
          <w:highlight w:val="none"/>
          <w:u w:val="none"/>
          <w:lang w:val="en-US" w:eastAsia="zh-CN"/>
        </w:rPr>
        <w:t xml:space="preserve"> </w:t>
      </w:r>
      <w:r>
        <w:rPr>
          <w:rFonts w:hint="eastAsia" w:ascii="仿宋_GB2312" w:eastAsia="仿宋_GB2312"/>
          <w:bCs/>
          <w:color w:val="auto"/>
          <w:sz w:val="24"/>
          <w:szCs w:val="24"/>
          <w:highlight w:val="none"/>
          <w:lang w:val="en-US" w:eastAsia="zh-CN"/>
        </w:rPr>
        <w:t>税率</w:t>
      </w:r>
      <w:r>
        <w:rPr>
          <w:rFonts w:hint="eastAsia" w:ascii="仿宋_GB2312" w:eastAsia="仿宋_GB2312"/>
          <w:bCs/>
          <w:color w:val="auto"/>
          <w:sz w:val="24"/>
          <w:szCs w:val="24"/>
          <w:highlight w:val="none"/>
          <w:u w:val="single"/>
          <w:lang w:val="en-US" w:eastAsia="zh-CN"/>
        </w:rPr>
        <w:t xml:space="preserve">     </w:t>
      </w:r>
      <w:r>
        <w:rPr>
          <w:rFonts w:hint="eastAsia" w:ascii="仿宋_GB2312" w:eastAsia="仿宋_GB2312"/>
          <w:bCs/>
          <w:color w:val="auto"/>
          <w:sz w:val="24"/>
          <w:szCs w:val="24"/>
          <w:highlight w:val="none"/>
          <w:u w:val="none"/>
          <w:lang w:val="en-US" w:eastAsia="zh-CN"/>
        </w:rPr>
        <w:t>，</w:t>
      </w:r>
      <w:r>
        <w:rPr>
          <w:rFonts w:hint="eastAsia" w:ascii="仿宋_GB2312" w:eastAsia="仿宋_GB2312"/>
          <w:bCs/>
          <w:color w:val="auto"/>
          <w:sz w:val="24"/>
          <w:szCs w:val="24"/>
          <w:highlight w:val="none"/>
        </w:rPr>
        <w:t>按比选文件的要求完成规定的全部工作内容，并承担相关责任</w:t>
      </w:r>
      <w:r>
        <w:rPr>
          <w:rFonts w:hint="eastAsia" w:ascii="仿宋_GB2312" w:hAnsi="仿宋_GB2312" w:eastAsia="仿宋_GB2312" w:cs="仿宋_GB2312"/>
          <w:bCs/>
          <w:sz w:val="24"/>
          <w:szCs w:val="24"/>
          <w:highlight w:val="none"/>
        </w:rPr>
        <w:t>。</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、我方提交的比选申请文件在比选截止时间后的90天及其延长期（如果有）内有效，在此期间内被你方接受的比选申请文件对我方具有约束力。我方保证在比选申请有效期内不撤回比选申请文件。</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3</w:t>
      </w:r>
      <w:r>
        <w:rPr>
          <w:rFonts w:hint="eastAsia" w:ascii="仿宋_GB2312" w:hAnsi="仿宋_GB2312" w:eastAsia="仿宋_GB2312" w:cs="仿宋_GB2312"/>
          <w:bCs/>
          <w:sz w:val="24"/>
          <w:highlight w:val="none"/>
        </w:rPr>
        <w:t>、若我方成为</w:t>
      </w:r>
      <w:r>
        <w:rPr>
          <w:rFonts w:hint="eastAsia" w:ascii="仿宋_GB2312" w:hAnsi="仿宋_GB2312" w:eastAsia="仿宋_GB2312" w:cs="仿宋_GB2312"/>
          <w:bCs/>
          <w:sz w:val="24"/>
          <w:highlight w:val="none"/>
          <w:lang w:val="en-US" w:eastAsia="zh-CN"/>
        </w:rPr>
        <w:t>中选候选人</w:t>
      </w:r>
      <w:r>
        <w:rPr>
          <w:rFonts w:hint="eastAsia" w:ascii="仿宋_GB2312" w:hAnsi="仿宋_GB2312" w:eastAsia="仿宋_GB2312" w:cs="仿宋_GB2312"/>
          <w:bCs/>
          <w:sz w:val="24"/>
          <w:highlight w:val="none"/>
        </w:rPr>
        <w:t>：</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（1）我方保证在收到你方的通知书后，按比选文件规定的期限，及时派代表前去进行合同谈判。</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（2）我方保证在合同规定的期限内完成合同规定的全部工作。</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4</w:t>
      </w:r>
      <w:r>
        <w:rPr>
          <w:rFonts w:hint="eastAsia" w:ascii="仿宋_GB2312" w:hAnsi="仿宋_GB2312" w:eastAsia="仿宋_GB2312" w:cs="仿宋_GB2312"/>
          <w:bCs/>
          <w:sz w:val="24"/>
          <w:highlight w:val="none"/>
        </w:rPr>
        <w:t>、我方完全理解你方不保证比选报价最低的比选申请人中选。</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5</w:t>
      </w:r>
      <w:r>
        <w:rPr>
          <w:rFonts w:hint="eastAsia" w:ascii="仿宋_GB2312" w:hAnsi="仿宋_GB2312" w:eastAsia="仿宋_GB2312" w:cs="仿宋_GB2312"/>
          <w:bCs/>
          <w:sz w:val="24"/>
          <w:highlight w:val="none"/>
        </w:rPr>
        <w:t>、我方保证将按比选文件的规定履行责任和义务。</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6</w:t>
      </w:r>
      <w:r>
        <w:rPr>
          <w:rFonts w:hint="eastAsia" w:ascii="仿宋_GB2312" w:hAnsi="仿宋_GB2312" w:eastAsia="仿宋_GB2312" w:cs="仿宋_GB2312"/>
          <w:bCs/>
          <w:sz w:val="24"/>
          <w:highlight w:val="none"/>
        </w:rPr>
        <w:t>、所有与本比选申请文件有关的正式通信请函送</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rPr>
        <w:t xml:space="preserve">           </w:t>
      </w:r>
    </w:p>
    <w:p>
      <w:pPr>
        <w:spacing w:line="400" w:lineRule="exact"/>
        <w:ind w:firstLine="420"/>
        <w:rPr>
          <w:rFonts w:hint="eastAsia" w:ascii="仿宋_GB2312" w:hAnsi="仿宋_GB2312" w:eastAsia="仿宋_GB2312" w:cs="仿宋_GB2312"/>
          <w:bCs/>
          <w:sz w:val="24"/>
          <w:highlight w:val="none"/>
        </w:rPr>
      </w:pPr>
    </w:p>
    <w:p>
      <w:pPr>
        <w:spacing w:line="400" w:lineRule="exact"/>
        <w:ind w:firstLine="4080" w:firstLineChars="17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rPr>
        <w:t>收件人：</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p>
    <w:p>
      <w:pPr>
        <w:pStyle w:val="5"/>
        <w:numPr>
          <w:ilvl w:val="0"/>
          <w:numId w:val="0"/>
        </w:numPr>
        <w:tabs>
          <w:tab w:val="clear" w:pos="945"/>
        </w:tabs>
        <w:ind w:left="945" w:leftChars="0" w:right="-630" w:rightChars="-300"/>
        <w:rPr>
          <w:rFonts w:hint="eastAsia"/>
        </w:rPr>
      </w:pPr>
    </w:p>
    <w:p>
      <w:pPr>
        <w:spacing w:line="400" w:lineRule="exact"/>
        <w:ind w:firstLine="4320" w:firstLineChars="18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rPr>
        <w:t>地址：</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p>
    <w:p>
      <w:pPr>
        <w:spacing w:line="400" w:lineRule="exact"/>
        <w:ind w:firstLine="3780" w:firstLineChars="157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r>
        <w:rPr>
          <w:rFonts w:hint="eastAsia" w:ascii="仿宋_GB2312" w:hAnsi="仿宋_GB2312" w:eastAsia="仿宋_GB2312" w:cs="仿宋_GB2312"/>
          <w:bCs/>
          <w:sz w:val="24"/>
          <w:highlight w:val="none"/>
          <w:lang w:val="en-US" w:eastAsia="zh-CN"/>
        </w:rPr>
        <w:t xml:space="preserve">    </w:t>
      </w:r>
      <w:r>
        <w:rPr>
          <w:rFonts w:hint="eastAsia" w:ascii="仿宋_GB2312" w:hAnsi="仿宋_GB2312" w:eastAsia="仿宋_GB2312" w:cs="仿宋_GB2312"/>
          <w:bCs/>
          <w:sz w:val="24"/>
          <w:highlight w:val="none"/>
        </w:rPr>
        <w:t>电话：</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r>
        <w:rPr>
          <w:rFonts w:hint="eastAsia" w:ascii="仿宋_GB2312" w:hAnsi="仿宋_GB2312" w:eastAsia="仿宋_GB2312" w:cs="仿宋_GB2312"/>
          <w:sz w:val="24"/>
          <w:highlight w:val="none"/>
        </w:rPr>
        <w:t xml:space="preserve">                                          </w:t>
      </w:r>
    </w:p>
    <w:p>
      <w:pPr>
        <w:spacing w:line="400" w:lineRule="exact"/>
        <w:ind w:firstLine="3600" w:firstLineChars="15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rPr>
        <w:t>比选申请人：</w:t>
      </w:r>
      <w:r>
        <w:rPr>
          <w:rFonts w:hint="eastAsia" w:ascii="仿宋_GB2312" w:hAnsi="仿宋_GB2312" w:eastAsia="仿宋_GB2312" w:cs="仿宋_GB2312"/>
          <w:bCs/>
          <w:sz w:val="24"/>
          <w:highlight w:val="none"/>
          <w:u w:val="single"/>
        </w:rPr>
        <w:t xml:space="preserve">           （公章）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p>
    <w:p>
      <w:pPr>
        <w:widowControl/>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p>
    <w:p>
      <w:pPr>
        <w:widowControl/>
        <w:spacing w:line="400" w:lineRule="exact"/>
        <w:ind w:firstLine="420"/>
        <w:rPr>
          <w:rFonts w:hint="eastAsia" w:ascii="仿宋_GB2312" w:hAnsi="仿宋_GB2312" w:eastAsia="仿宋_GB2312" w:cs="仿宋_GB2312"/>
          <w:bCs/>
          <w:sz w:val="24"/>
          <w:highlight w:val="none"/>
        </w:rPr>
      </w:pP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法定代表人（或委托代理人）：</w:t>
      </w:r>
      <w:r>
        <w:rPr>
          <w:rFonts w:hint="eastAsia" w:ascii="仿宋_GB2312" w:hAnsi="仿宋_GB2312" w:eastAsia="仿宋_GB2312" w:cs="仿宋_GB2312"/>
          <w:bCs/>
          <w:sz w:val="24"/>
          <w:highlight w:val="none"/>
          <w:u w:val="single"/>
        </w:rPr>
        <w:t xml:space="preserve">            （签名）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p>
    <w:p>
      <w:pPr>
        <w:spacing w:line="400" w:lineRule="exact"/>
        <w:ind w:firstLine="42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p>
    <w:p>
      <w:pPr>
        <w:spacing w:line="400" w:lineRule="exact"/>
        <w:ind w:firstLine="420"/>
        <w:rPr>
          <w:rFonts w:hint="eastAsia" w:ascii="仿宋_GB2312" w:hAnsi="仿宋_GB2312" w:eastAsia="仿宋_GB2312" w:cs="仿宋_GB2312"/>
          <w:bCs/>
          <w:sz w:val="24"/>
          <w:highlight w:val="none"/>
        </w:rPr>
      </w:pPr>
    </w:p>
    <w:p>
      <w:pPr>
        <w:spacing w:line="400" w:lineRule="exact"/>
        <w:ind w:left="480" w:firstLine="960" w:firstLineChars="400"/>
        <w:jc w:val="left"/>
        <w:rPr>
          <w:rFonts w:hint="eastAsia" w:asciiTheme="minorEastAsia" w:hAnsiTheme="minorEastAsia" w:eastAsiaTheme="minorEastAsia" w:cstheme="minorEastAsia"/>
          <w:bCs/>
          <w:sz w:val="24"/>
          <w:highlight w:val="none"/>
        </w:rPr>
      </w:pPr>
      <w:r>
        <w:rPr>
          <w:rFonts w:hint="eastAsia" w:ascii="仿宋_GB2312" w:hAnsi="仿宋_GB2312" w:eastAsia="仿宋_GB2312" w:cs="仿宋_GB2312"/>
          <w:bCs/>
          <w:sz w:val="24"/>
          <w:highlight w:val="none"/>
          <w:lang w:val="en-US" w:eastAsia="zh-CN"/>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lang w:val="en-US" w:eastAsia="zh-CN"/>
        </w:rPr>
        <w:t>年</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lang w:val="en-US" w:eastAsia="zh-CN"/>
        </w:rPr>
        <w:t>月</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lang w:val="en-US" w:eastAsia="zh-CN"/>
        </w:rPr>
        <w:t>日</w:t>
      </w:r>
      <w:r>
        <w:rPr>
          <w:rFonts w:hint="eastAsia" w:ascii="仿宋_GB2312" w:hAnsi="仿宋_GB2312" w:eastAsia="仿宋_GB2312" w:cs="仿宋_GB2312"/>
          <w:bCs/>
          <w:sz w:val="24"/>
          <w:highlight w:val="none"/>
        </w:rPr>
        <w:t xml:space="preserve">       </w:t>
      </w:r>
      <w:r>
        <w:rPr>
          <w:rFonts w:hint="eastAsia" w:asciiTheme="minorEastAsia" w:hAnsiTheme="minorEastAsia" w:eastAsiaTheme="minorEastAsia" w:cstheme="minorEastAsia"/>
          <w:bCs/>
          <w:sz w:val="24"/>
          <w:highlight w:val="none"/>
        </w:rPr>
        <w:t xml:space="preserve">                                                                 </w:t>
      </w:r>
      <w:bookmarkStart w:id="58" w:name="_Toc109212585"/>
      <w:bookmarkStart w:id="59" w:name="_Toc16393653"/>
      <w:bookmarkStart w:id="60" w:name="_Toc44141195"/>
      <w:bookmarkStart w:id="61" w:name="_Toc3442"/>
      <w:bookmarkStart w:id="62" w:name="_Toc17186213"/>
    </w:p>
    <w:p>
      <w:pPr>
        <w:spacing w:line="400" w:lineRule="exact"/>
        <w:jc w:val="left"/>
        <w:rPr>
          <w:rFonts w:hint="eastAsia" w:asciiTheme="minorEastAsia" w:hAnsiTheme="minorEastAsia" w:eastAsiaTheme="minorEastAsia" w:cstheme="minorEastAsia"/>
          <w:b/>
          <w:kern w:val="0"/>
          <w:sz w:val="24"/>
          <w:szCs w:val="24"/>
          <w:highlight w:val="none"/>
          <w:lang w:val="en-US" w:eastAsia="zh-CN" w:bidi="ar-SA"/>
        </w:rPr>
        <w:sectPr>
          <w:footerReference r:id="rId8" w:type="first"/>
          <w:headerReference r:id="rId6" w:type="default"/>
          <w:footerReference r:id="rId7" w:type="default"/>
          <w:pgSz w:w="11906" w:h="16838"/>
          <w:pgMar w:top="1304" w:right="1196" w:bottom="1304" w:left="1797" w:header="851" w:footer="992" w:gutter="0"/>
          <w:pgNumType w:fmt="decimal" w:start="1"/>
          <w:cols w:space="0" w:num="1"/>
          <w:titlePg/>
          <w:rtlGutter w:val="0"/>
          <w:docGrid w:type="lines" w:linePitch="318" w:charSpace="0"/>
        </w:sectPr>
      </w:pPr>
    </w:p>
    <w:p>
      <w:pPr>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kern w:val="0"/>
          <w:sz w:val="24"/>
          <w:szCs w:val="24"/>
          <w:highlight w:val="none"/>
          <w:lang w:val="en-US" w:eastAsia="zh-CN" w:bidi="ar-SA"/>
        </w:rPr>
        <w:t>三、授权委托书</w:t>
      </w:r>
      <w:bookmarkEnd w:id="58"/>
      <w:bookmarkEnd w:id="59"/>
      <w:bookmarkEnd w:id="60"/>
      <w:bookmarkEnd w:id="61"/>
      <w:bookmarkEnd w:id="62"/>
    </w:p>
    <w:p>
      <w:pPr>
        <w:pStyle w:val="33"/>
        <w:spacing w:after="156"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授权委托书</w:t>
      </w:r>
    </w:p>
    <w:p>
      <w:pPr>
        <w:spacing w:line="360" w:lineRule="auto"/>
        <w:rPr>
          <w:rFonts w:hint="eastAsia" w:ascii="仿宋_GB2312" w:hAnsi="仿宋_GB2312" w:eastAsia="仿宋_GB2312" w:cs="仿宋_GB2312"/>
          <w:bCs/>
          <w:sz w:val="24"/>
          <w:highlight w:val="none"/>
        </w:rPr>
      </w:pPr>
      <w:r>
        <w:rPr>
          <w:rFonts w:hint="eastAsia" w:ascii="仿宋_GB2312" w:hAnsi="仿宋_GB2312" w:eastAsia="仿宋_GB2312" w:cs="仿宋_GB2312"/>
          <w:sz w:val="24"/>
          <w:highlight w:val="none"/>
        </w:rPr>
        <w:t>致：</w:t>
      </w:r>
      <w:r>
        <w:rPr>
          <w:rFonts w:hint="eastAsia" w:ascii="仿宋_GB2312" w:hAnsi="仿宋_GB2312" w:eastAsia="仿宋_GB2312" w:cs="仿宋_GB2312"/>
          <w:bCs/>
          <w:sz w:val="24"/>
          <w:highlight w:val="none"/>
          <w:lang w:eastAsia="zh-CN"/>
        </w:rPr>
        <w:t>川投（达州）燃气发电有限公司</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我，</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(姓名)，作为</w:t>
      </w:r>
      <w:r>
        <w:rPr>
          <w:rFonts w:hint="eastAsia" w:ascii="仿宋_GB2312" w:hAnsi="仿宋_GB2312" w:eastAsia="仿宋_GB2312" w:cs="仿宋_GB2312"/>
          <w:bCs/>
          <w:sz w:val="24"/>
          <w:highlight w:val="none"/>
          <w:u w:val="single"/>
          <w:lang w:val="en-US" w:eastAsia="zh-CN"/>
        </w:rPr>
        <w:t xml:space="preserve">         （比选申请人名称）         </w:t>
      </w:r>
      <w:r>
        <w:rPr>
          <w:rFonts w:hint="eastAsia" w:ascii="仿宋_GB2312" w:hAnsi="仿宋_GB2312" w:eastAsia="仿宋_GB2312" w:cs="仿宋_GB2312"/>
          <w:bCs/>
          <w:sz w:val="24"/>
          <w:highlight w:val="none"/>
        </w:rPr>
        <w:t>的法定代表人（或负责人），兹授权</w:t>
      </w:r>
      <w:r>
        <w:rPr>
          <w:rFonts w:hint="eastAsia" w:ascii="仿宋_GB2312" w:hAnsi="仿宋_GB2312" w:eastAsia="仿宋_GB2312" w:cs="仿宋_GB2312"/>
          <w:bCs/>
          <w:sz w:val="24"/>
          <w:highlight w:val="none"/>
          <w:u w:val="single"/>
        </w:rPr>
        <w:t xml:space="preserve">       （委托代理人姓名、职务）     </w:t>
      </w:r>
      <w:r>
        <w:rPr>
          <w:rFonts w:hint="eastAsia" w:ascii="仿宋_GB2312" w:hAnsi="仿宋_GB2312" w:eastAsia="仿宋_GB2312" w:cs="仿宋_GB2312"/>
          <w:bCs/>
          <w:sz w:val="24"/>
          <w:highlight w:val="none"/>
        </w:rPr>
        <w:t>（居民身份证编号：</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）为我单位的委托代理人，代表我单位就</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（项目名称）       </w:t>
      </w:r>
      <w:r>
        <w:rPr>
          <w:rFonts w:hint="eastAsia" w:ascii="仿宋_GB2312" w:hAnsi="仿宋_GB2312" w:eastAsia="仿宋_GB2312" w:cs="仿宋_GB2312"/>
          <w:bCs/>
          <w:sz w:val="24"/>
          <w:highlight w:val="none"/>
        </w:rPr>
        <w:t>签署比选申请文件、进行谈判、签订合同和处理与之有关的一切事务，我及我单位均予以承认并全部承担其产生的所有权利和义务，特此授权。委托代理人不得转授权。</w:t>
      </w:r>
    </w:p>
    <w:p>
      <w:pPr>
        <w:spacing w:line="360" w:lineRule="auto"/>
        <w:rPr>
          <w:rFonts w:hint="eastAsia" w:ascii="仿宋_GB2312" w:hAnsi="仿宋_GB2312" w:eastAsia="仿宋_GB2312" w:cs="仿宋_GB2312"/>
          <w:bCs/>
          <w:sz w:val="24"/>
          <w:highlight w:val="none"/>
        </w:rPr>
      </w:pP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ab/>
      </w:r>
      <w:r>
        <w:rPr>
          <w:rFonts w:hint="eastAsia" w:ascii="仿宋_GB2312" w:hAnsi="仿宋_GB2312" w:eastAsia="仿宋_GB2312" w:cs="仿宋_GB2312"/>
          <w:bCs/>
          <w:sz w:val="24"/>
          <w:highlight w:val="none"/>
        </w:rPr>
        <w:t xml:space="preserve">                         比选申请人：</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（公章）    </w:t>
      </w:r>
      <w:r>
        <w:rPr>
          <w:rFonts w:hint="eastAsia" w:ascii="仿宋_GB2312" w:hAnsi="仿宋_GB2312" w:eastAsia="仿宋_GB2312" w:cs="仿宋_GB2312"/>
          <w:bCs/>
          <w:sz w:val="24"/>
          <w:highlight w:val="none"/>
          <w:u w:val="single"/>
          <w:lang w:val="en-US" w:eastAsia="zh-CN"/>
        </w:rPr>
        <w:t xml:space="preserve">     </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 xml:space="preserve">                                                       </w:t>
      </w:r>
    </w:p>
    <w:p>
      <w:pPr>
        <w:spacing w:line="360" w:lineRule="auto"/>
        <w:ind w:firstLine="422"/>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rPr>
        <w:t xml:space="preserve">                  法定代表人（或负责人）：</w:t>
      </w:r>
      <w:r>
        <w:rPr>
          <w:rFonts w:hint="eastAsia" w:ascii="仿宋_GB2312" w:hAnsi="仿宋_GB2312" w:eastAsia="仿宋_GB2312" w:cs="仿宋_GB2312"/>
          <w:bCs/>
          <w:sz w:val="24"/>
          <w:highlight w:val="none"/>
          <w:u w:val="single"/>
        </w:rPr>
        <w:t xml:space="preserve">           （签名）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p>
    <w:p>
      <w:pPr>
        <w:spacing w:line="360" w:lineRule="auto"/>
        <w:ind w:firstLine="422"/>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rPr>
        <w:t xml:space="preserve">                                                                             </w:t>
      </w:r>
    </w:p>
    <w:p>
      <w:pPr>
        <w:spacing w:line="360" w:lineRule="auto"/>
        <w:ind w:left="481" w:leftChars="229" w:firstLine="3417" w:firstLineChars="1424"/>
        <w:rPr>
          <w:rFonts w:hint="eastAsia" w:ascii="仿宋_GB2312" w:hAnsi="仿宋_GB2312" w:eastAsia="仿宋_GB2312" w:cs="仿宋_GB2312"/>
          <w:sz w:val="24"/>
          <w:highlight w:val="none"/>
        </w:rPr>
      </w:pPr>
      <w:r>
        <w:rPr>
          <w:rFonts w:hint="eastAsia" w:ascii="仿宋_GB2312" w:hAnsi="仿宋_GB2312" w:eastAsia="仿宋_GB2312" w:cs="仿宋_GB2312"/>
          <w:bCs/>
          <w:sz w:val="24"/>
          <w:highlight w:val="none"/>
        </w:rPr>
        <w:t>委托代理人：</w:t>
      </w:r>
      <w:r>
        <w:rPr>
          <w:rFonts w:hint="eastAsia" w:ascii="仿宋_GB2312" w:hAnsi="仿宋_GB2312" w:eastAsia="仿宋_GB2312" w:cs="仿宋_GB2312"/>
          <w:bCs/>
          <w:sz w:val="24"/>
          <w:highlight w:val="none"/>
          <w:u w:val="single"/>
        </w:rPr>
        <w:t xml:space="preserve">            （签名）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p>
    <w:p>
      <w:pPr>
        <w:spacing w:line="360" w:lineRule="auto"/>
        <w:ind w:firstLine="422"/>
        <w:rPr>
          <w:rFonts w:hint="eastAsia" w:ascii="仿宋_GB2312" w:hAnsi="仿宋_GB2312" w:eastAsia="仿宋_GB2312" w:cs="仿宋_GB2312"/>
          <w:bCs/>
          <w:sz w:val="24"/>
          <w:highlight w:val="none"/>
        </w:rPr>
      </w:pPr>
    </w:p>
    <w:p>
      <w:pPr>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spacing w:line="360" w:lineRule="auto"/>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附：授权人、委托代理人居民身份证复印件。</w:t>
      </w:r>
    </w:p>
    <w:p>
      <w:pPr>
        <w:pStyle w:val="7"/>
        <w:rPr>
          <w:rFonts w:hint="eastAsia" w:ascii="仿宋_GB2312" w:hAnsi="仿宋_GB2312" w:eastAsia="仿宋_GB2312" w:cs="仿宋_GB2312"/>
          <w:highlight w:val="none"/>
        </w:rPr>
      </w:pPr>
    </w:p>
    <w:tbl>
      <w:tblPr>
        <w:tblStyle w:val="2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trPr>
        <w:tc>
          <w:tcPr>
            <w:tcW w:w="3965" w:type="dxa"/>
            <w:vAlign w:val="center"/>
          </w:tcPr>
          <w:p>
            <w:pPr>
              <w:spacing w:line="360" w:lineRule="auto"/>
              <w:jc w:val="center"/>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授权人身份证复印件</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lang w:val="en-US" w:eastAsia="zh-CN"/>
              </w:rPr>
              <w:t>正面</w:t>
            </w:r>
            <w:r>
              <w:rPr>
                <w:rFonts w:hint="eastAsia" w:ascii="仿宋_GB2312" w:hAnsi="仿宋_GB2312" w:eastAsia="仿宋_GB2312" w:cs="仿宋_GB2312"/>
                <w:bCs/>
                <w:sz w:val="24"/>
                <w:highlight w:val="none"/>
                <w:lang w:eastAsia="zh-CN"/>
              </w:rPr>
              <w:t>）</w:t>
            </w:r>
          </w:p>
        </w:tc>
        <w:tc>
          <w:tcPr>
            <w:tcW w:w="1337" w:type="dxa"/>
            <w:tcBorders>
              <w:top w:val="nil"/>
              <w:bottom w:val="nil"/>
            </w:tcBorders>
          </w:tcPr>
          <w:p>
            <w:pPr>
              <w:spacing w:line="360" w:lineRule="auto"/>
              <w:jc w:val="center"/>
              <w:rPr>
                <w:rFonts w:hint="eastAsia" w:ascii="仿宋_GB2312" w:hAnsi="仿宋_GB2312" w:eastAsia="仿宋_GB2312" w:cs="仿宋_GB2312"/>
                <w:bCs/>
                <w:sz w:val="24"/>
                <w:highlight w:val="none"/>
              </w:rPr>
            </w:pPr>
          </w:p>
        </w:tc>
        <w:tc>
          <w:tcPr>
            <w:tcW w:w="3827" w:type="dxa"/>
            <w:vAlign w:val="center"/>
          </w:tcPr>
          <w:p>
            <w:pPr>
              <w:spacing w:line="360" w:lineRule="auto"/>
              <w:jc w:val="center"/>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委托代理人身份证复印件</w:t>
            </w:r>
            <w:r>
              <w:rPr>
                <w:rFonts w:hint="eastAsia" w:ascii="仿宋_GB2312" w:hAnsi="仿宋_GB2312" w:eastAsia="仿宋_GB2312" w:cs="仿宋_GB2312"/>
                <w:bCs/>
                <w:sz w:val="24"/>
                <w:highlight w:val="none"/>
                <w:lang w:val="en-US" w:eastAsia="zh-CN"/>
              </w:rPr>
              <w:t>(反面）</w:t>
            </w:r>
          </w:p>
        </w:tc>
      </w:tr>
    </w:tbl>
    <w:p>
      <w:pPr>
        <w:spacing w:line="360" w:lineRule="auto"/>
        <w:rPr>
          <w:rFonts w:hint="eastAsia" w:ascii="仿宋_GB2312" w:hAnsi="仿宋_GB2312" w:eastAsia="仿宋_GB2312" w:cs="仿宋_GB2312"/>
          <w:b/>
          <w:highlight w:val="none"/>
        </w:rPr>
      </w:pPr>
    </w:p>
    <w:tbl>
      <w:tblPr>
        <w:tblStyle w:val="2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133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atLeast"/>
        </w:trPr>
        <w:tc>
          <w:tcPr>
            <w:tcW w:w="3965" w:type="dxa"/>
            <w:vAlign w:val="center"/>
          </w:tcPr>
          <w:p>
            <w:pPr>
              <w:spacing w:line="360" w:lineRule="auto"/>
              <w:jc w:val="center"/>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法</w:t>
            </w:r>
            <w:r>
              <w:rPr>
                <w:rFonts w:hint="eastAsia" w:ascii="仿宋_GB2312" w:hAnsi="仿宋_GB2312" w:eastAsia="仿宋_GB2312" w:cs="仿宋_GB2312"/>
                <w:bCs/>
                <w:sz w:val="24"/>
                <w:highlight w:val="none"/>
              </w:rPr>
              <w:t>人身份证复印件</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lang w:val="en-US" w:eastAsia="zh-CN"/>
              </w:rPr>
              <w:t>正面</w:t>
            </w:r>
            <w:r>
              <w:rPr>
                <w:rFonts w:hint="eastAsia" w:ascii="仿宋_GB2312" w:hAnsi="仿宋_GB2312" w:eastAsia="仿宋_GB2312" w:cs="仿宋_GB2312"/>
                <w:bCs/>
                <w:sz w:val="24"/>
                <w:highlight w:val="none"/>
                <w:lang w:eastAsia="zh-CN"/>
              </w:rPr>
              <w:t>）</w:t>
            </w:r>
          </w:p>
        </w:tc>
        <w:tc>
          <w:tcPr>
            <w:tcW w:w="1337" w:type="dxa"/>
            <w:tcBorders>
              <w:top w:val="nil"/>
              <w:bottom w:val="nil"/>
            </w:tcBorders>
          </w:tcPr>
          <w:p>
            <w:pPr>
              <w:spacing w:line="360" w:lineRule="auto"/>
              <w:jc w:val="center"/>
              <w:rPr>
                <w:rFonts w:hint="eastAsia" w:ascii="仿宋_GB2312" w:hAnsi="仿宋_GB2312" w:eastAsia="仿宋_GB2312" w:cs="仿宋_GB2312"/>
                <w:bCs/>
                <w:sz w:val="24"/>
                <w:highlight w:val="none"/>
              </w:rPr>
            </w:pPr>
          </w:p>
        </w:tc>
        <w:tc>
          <w:tcPr>
            <w:tcW w:w="3827" w:type="dxa"/>
            <w:vAlign w:val="center"/>
          </w:tcPr>
          <w:p>
            <w:pPr>
              <w:spacing w:line="360" w:lineRule="auto"/>
              <w:jc w:val="center"/>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lang w:val="en-US" w:eastAsia="zh-CN"/>
              </w:rPr>
              <w:t>法</w:t>
            </w:r>
            <w:r>
              <w:rPr>
                <w:rFonts w:hint="eastAsia" w:ascii="仿宋_GB2312" w:hAnsi="仿宋_GB2312" w:eastAsia="仿宋_GB2312" w:cs="仿宋_GB2312"/>
                <w:bCs/>
                <w:sz w:val="24"/>
                <w:highlight w:val="none"/>
              </w:rPr>
              <w:t>人身份证复印件</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lang w:val="en-US" w:eastAsia="zh-CN"/>
              </w:rPr>
              <w:t>反面</w:t>
            </w:r>
            <w:r>
              <w:rPr>
                <w:rFonts w:hint="eastAsia" w:ascii="仿宋_GB2312" w:hAnsi="仿宋_GB2312" w:eastAsia="仿宋_GB2312" w:cs="仿宋_GB2312"/>
                <w:bCs/>
                <w:sz w:val="24"/>
                <w:highlight w:val="none"/>
                <w:lang w:eastAsia="zh-CN"/>
              </w:rPr>
              <w:t>）</w:t>
            </w:r>
          </w:p>
        </w:tc>
      </w:tr>
    </w:tbl>
    <w:p>
      <w:pPr>
        <w:pStyle w:val="2"/>
        <w:rPr>
          <w:rFonts w:hint="eastAsia" w:asciiTheme="minorEastAsia" w:hAnsiTheme="minorEastAsia" w:eastAsiaTheme="minorEastAsia" w:cstheme="minorEastAsia"/>
          <w:b/>
          <w:bCs w:val="0"/>
          <w:highlight w:val="none"/>
          <w:lang w:val="en-US" w:eastAsia="zh-CN"/>
        </w:rPr>
      </w:pPr>
      <w:bookmarkStart w:id="63" w:name="_Toc28140"/>
      <w:bookmarkStart w:id="64" w:name="_Toc258853408"/>
    </w:p>
    <w:p>
      <w:pPr>
        <w:pStyle w:val="2"/>
        <w:rPr>
          <w:rFonts w:hint="eastAsia" w:asciiTheme="minorEastAsia" w:hAnsiTheme="minorEastAsia" w:eastAsiaTheme="minorEastAsia" w:cstheme="minorEastAsia"/>
          <w:b/>
          <w:bCs w:val="0"/>
          <w:highlight w:val="none"/>
          <w:lang w:val="en-US" w:eastAsia="zh-CN"/>
        </w:rPr>
      </w:pPr>
      <w:r>
        <w:rPr>
          <w:rFonts w:hint="eastAsia" w:asciiTheme="minorEastAsia" w:hAnsiTheme="minorEastAsia" w:eastAsiaTheme="minorEastAsia" w:cstheme="minorEastAsia"/>
          <w:b/>
          <w:bCs w:val="0"/>
          <w:highlight w:val="none"/>
          <w:lang w:val="en-US" w:eastAsia="zh-CN"/>
        </w:rPr>
        <w:t>四、比选申请人承诺函</w:t>
      </w:r>
      <w:bookmarkEnd w:id="63"/>
      <w:bookmarkEnd w:id="64"/>
    </w:p>
    <w:p>
      <w:pPr>
        <w:pStyle w:val="33"/>
        <w:spacing w:after="156"/>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比选申请人承诺函</w:t>
      </w:r>
    </w:p>
    <w:p>
      <w:pPr>
        <w:spacing w:line="360" w:lineRule="auto"/>
        <w:rPr>
          <w:rFonts w:hint="eastAsia" w:ascii="仿宋_GB2312" w:hAnsi="仿宋_GB2312" w:eastAsia="仿宋_GB2312" w:cs="仿宋_GB2312"/>
          <w:bCs/>
          <w:sz w:val="24"/>
          <w:highlight w:val="none"/>
        </w:rPr>
      </w:pPr>
      <w:r>
        <w:rPr>
          <w:rFonts w:hint="eastAsia" w:ascii="仿宋_GB2312" w:hAnsi="仿宋_GB2312" w:eastAsia="仿宋_GB2312" w:cs="仿宋_GB2312"/>
          <w:sz w:val="24"/>
          <w:highlight w:val="none"/>
        </w:rPr>
        <w:t>致：</w:t>
      </w:r>
      <w:r>
        <w:rPr>
          <w:rFonts w:hint="eastAsia" w:ascii="仿宋_GB2312" w:hAnsi="仿宋_GB2312" w:eastAsia="仿宋_GB2312" w:cs="仿宋_GB2312"/>
          <w:bCs/>
          <w:sz w:val="24"/>
          <w:highlight w:val="none"/>
          <w:lang w:eastAsia="zh-CN"/>
        </w:rPr>
        <w:t>川投（达州）燃气发电有限公司</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我公司自愿参加你公司组织的中介机构比选活动，作为比选申请人，我公司承诺如下：</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1、完全理解、同意并接受比选文件的一切规定和要求。</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2、我公司对比选申请文件所提供资料的真实性负责。如与事实不符或弄虚作假，我公司自愿承担一切责任。</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3、无论中选与否，因本次比选所发生的一切费用，由我公司自行承担。</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4、若中选，承诺本项目现场进场人员，与比选申请文件中承诺的拟投入本项目组现场人员名单一致。否则，比选人有权取消我方中选资格，我方承担由此给比选人造成的损失。</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5、若中选，本承诺函将成为合同不可分割的一部分，与合同具有同等的法律效力。</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6、无论我公司中选或者落选，均保证不向任何第三方泄露本次选聘的相关信息，不向任何第三方披露获得的或收到的任何文件资料及非公开信息。</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7、我公司参与本次选聘，保证不存在以下情形：</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（1）提供虚假材料谋取中选；</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（2）采取不正当手段诋毁、排挤其他比选申请人；</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（3）与其它比选申请人恶意串通；</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（4）向比选人行贿或者提供其他不正当利益；</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（5）拒绝有关部门监督检查或提供虚假情况；</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（6）有其他违规行为。</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8、我公司截止比选公告日未在相关处罚期内。</w:t>
      </w:r>
    </w:p>
    <w:p>
      <w:pPr>
        <w:spacing w:line="360" w:lineRule="auto"/>
        <w:ind w:firstLine="422"/>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9、我公司近三年提供的</w:t>
      </w:r>
      <w:r>
        <w:rPr>
          <w:rFonts w:hint="eastAsia" w:ascii="仿宋_GB2312" w:hAnsi="仿宋_GB2312" w:eastAsia="仿宋_GB2312" w:cs="仿宋_GB2312"/>
          <w:bCs/>
          <w:sz w:val="24"/>
          <w:highlight w:val="none"/>
          <w:lang w:val="en-US" w:eastAsia="zh-CN"/>
        </w:rPr>
        <w:t>检修检修工作</w:t>
      </w:r>
      <w:r>
        <w:rPr>
          <w:rFonts w:hint="eastAsia" w:ascii="仿宋_GB2312" w:hAnsi="仿宋_GB2312" w:eastAsia="仿宋_GB2312" w:cs="仿宋_GB2312"/>
          <w:bCs/>
          <w:sz w:val="24"/>
          <w:highlight w:val="none"/>
        </w:rPr>
        <w:t>未因重大执业质量等问题受到</w:t>
      </w:r>
      <w:r>
        <w:rPr>
          <w:rFonts w:hint="eastAsia" w:ascii="仿宋_GB2312" w:hAnsi="仿宋_GB2312" w:eastAsia="仿宋_GB2312" w:cs="仿宋_GB2312"/>
          <w:bCs/>
          <w:sz w:val="24"/>
          <w:highlight w:val="none"/>
          <w:lang w:val="en-US" w:eastAsia="zh-CN"/>
        </w:rPr>
        <w:t>政府机关单位</w:t>
      </w:r>
      <w:r>
        <w:rPr>
          <w:rFonts w:hint="eastAsia" w:ascii="仿宋_GB2312" w:hAnsi="仿宋_GB2312" w:eastAsia="仿宋_GB2312" w:cs="仿宋_GB2312"/>
          <w:bCs/>
          <w:sz w:val="24"/>
          <w:highlight w:val="none"/>
        </w:rPr>
        <w:t>通报。</w:t>
      </w:r>
    </w:p>
    <w:p>
      <w:pPr>
        <w:spacing w:line="360" w:lineRule="auto"/>
        <w:ind w:firstLine="4560" w:firstLineChars="1900"/>
        <w:rPr>
          <w:rFonts w:hint="eastAsia" w:ascii="仿宋_GB2312" w:hAnsi="仿宋_GB2312" w:eastAsia="仿宋_GB2312" w:cs="仿宋_GB2312"/>
          <w:bCs/>
          <w:sz w:val="24"/>
          <w:highlight w:val="none"/>
          <w:u w:val="single"/>
        </w:rPr>
      </w:pPr>
      <w:r>
        <w:rPr>
          <w:rFonts w:hint="eastAsia" w:ascii="仿宋_GB2312" w:hAnsi="仿宋_GB2312" w:eastAsia="仿宋_GB2312" w:cs="仿宋_GB2312"/>
          <w:bCs/>
          <w:sz w:val="24"/>
          <w:highlight w:val="none"/>
        </w:rPr>
        <w:t>比选申请人：</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（公章）  </w:t>
      </w:r>
    </w:p>
    <w:p>
      <w:pPr>
        <w:pStyle w:val="7"/>
        <w:rPr>
          <w:rFonts w:hint="eastAsia" w:ascii="仿宋_GB2312" w:hAnsi="仿宋_GB2312" w:eastAsia="仿宋_GB2312" w:cs="仿宋_GB2312"/>
          <w:highlight w:val="none"/>
        </w:rPr>
      </w:pPr>
    </w:p>
    <w:p>
      <w:pPr>
        <w:spacing w:line="360" w:lineRule="auto"/>
        <w:ind w:firstLine="422"/>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rPr>
        <w:t xml:space="preserve">                法定代表人（或委托代理人）：</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（签名）</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p>
    <w:p>
      <w:pPr>
        <w:jc w:val="right"/>
        <w:rPr>
          <w:rFonts w:hint="eastAsia" w:ascii="仿宋_GB2312" w:hAnsi="仿宋_GB2312" w:eastAsia="仿宋_GB2312" w:cs="仿宋_GB2312"/>
          <w:sz w:val="24"/>
          <w:highlight w:val="none"/>
          <w:u w:val="single"/>
        </w:rPr>
      </w:pPr>
    </w:p>
    <w:p>
      <w:pPr>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日</w:t>
      </w:r>
    </w:p>
    <w:p>
      <w:pPr>
        <w:widowControl/>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bookmarkStart w:id="65" w:name="_Toc44141222"/>
      <w:bookmarkStart w:id="66" w:name="_Toc469972739"/>
      <w:bookmarkStart w:id="67" w:name="_Toc109212591"/>
      <w:bookmarkStart w:id="68" w:name="_Toc16393676"/>
      <w:bookmarkStart w:id="69" w:name="_Toc17186236"/>
    </w:p>
    <w:p>
      <w:pPr>
        <w:pStyle w:val="2"/>
        <w:rPr>
          <w:rFonts w:hint="eastAsia" w:asciiTheme="minorEastAsia" w:hAnsiTheme="minorEastAsia" w:eastAsiaTheme="minorEastAsia" w:cstheme="minorEastAsia"/>
          <w:b/>
          <w:bCs w:val="0"/>
          <w:highlight w:val="none"/>
          <w:lang w:val="en-US" w:eastAsia="zh-CN"/>
        </w:rPr>
      </w:pPr>
      <w:r>
        <w:rPr>
          <w:rFonts w:hint="eastAsia" w:asciiTheme="minorEastAsia" w:hAnsiTheme="minorEastAsia" w:eastAsiaTheme="minorEastAsia" w:cstheme="minorEastAsia"/>
          <w:b/>
          <w:bCs w:val="0"/>
          <w:highlight w:val="none"/>
          <w:lang w:val="en-US" w:eastAsia="zh-CN"/>
        </w:rPr>
        <w:t>五、资格审查资料</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（一）比选申请人具备独立承担民事责能力，在中华人民共和国境内依法注册的法人或其他组织。（</w:t>
      </w:r>
      <w:r>
        <w:rPr>
          <w:rFonts w:hint="eastAsia" w:ascii="仿宋_GB2312" w:hAnsi="仿宋_GB2312" w:eastAsia="仿宋_GB2312" w:cs="仿宋_GB2312"/>
          <w:bCs/>
          <w:sz w:val="24"/>
          <w:highlight w:val="none"/>
          <w:u w:val="single"/>
          <w:lang w:val="en-US" w:eastAsia="zh-CN"/>
        </w:rPr>
        <w:t>提供企业法人（负责人）营业执照等复印件并加盖公司印章</w:t>
      </w:r>
      <w:r>
        <w:rPr>
          <w:rFonts w:hint="eastAsia" w:ascii="仿宋_GB2312" w:hAnsi="仿宋_GB2312" w:eastAsia="仿宋_GB2312" w:cs="仿宋_GB2312"/>
          <w:bCs/>
          <w:sz w:val="24"/>
          <w:highlight w:val="none"/>
          <w:lang w:val="en-US" w:eastAsia="zh-CN"/>
        </w:rPr>
        <w:t>）；</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（二）比选申请人具备电力工程承装、承修、承试二级及以上资质证书。（</w:t>
      </w:r>
      <w:r>
        <w:rPr>
          <w:rFonts w:hint="eastAsia" w:ascii="仿宋_GB2312" w:hAnsi="仿宋_GB2312" w:eastAsia="仿宋_GB2312" w:cs="仿宋_GB2312"/>
          <w:bCs/>
          <w:sz w:val="24"/>
          <w:highlight w:val="none"/>
          <w:u w:val="single"/>
          <w:lang w:val="en-US" w:eastAsia="zh-CN"/>
        </w:rPr>
        <w:t>提供电力工程承装、承修、承试二级及以上资质证书复印件并加盖公司印章</w:t>
      </w:r>
      <w:r>
        <w:rPr>
          <w:rFonts w:hint="eastAsia" w:ascii="仿宋_GB2312" w:hAnsi="仿宋_GB2312" w:eastAsia="仿宋_GB2312" w:cs="仿宋_GB2312"/>
          <w:bCs/>
          <w:sz w:val="24"/>
          <w:highlight w:val="none"/>
          <w:lang w:val="en-US" w:eastAsia="zh-CN"/>
        </w:rPr>
        <w:t>）；</w:t>
      </w:r>
    </w:p>
    <w:p>
      <w:pPr>
        <w:spacing w:line="400" w:lineRule="exact"/>
        <w:ind w:firstLine="420"/>
        <w:rPr>
          <w:rFonts w:hint="eastAsia" w:ascii="仿宋_GB2312" w:hAnsi="仿宋_GB2312" w:eastAsia="仿宋_GB2312" w:cs="仿宋_GB2312"/>
          <w:bCs/>
          <w:sz w:val="24"/>
          <w:highlight w:val="yellow"/>
          <w:lang w:val="en-US" w:eastAsia="zh-CN"/>
        </w:rPr>
      </w:pPr>
      <w:r>
        <w:rPr>
          <w:rFonts w:hint="eastAsia" w:ascii="仿宋_GB2312" w:hAnsi="仿宋_GB2312" w:eastAsia="仿宋_GB2312" w:cs="仿宋_GB2312"/>
          <w:bCs/>
          <w:sz w:val="24"/>
          <w:highlight w:val="none"/>
          <w:lang w:val="en-US" w:eastAsia="zh-CN"/>
        </w:rPr>
        <w:t>（三）比选申请人具备3份及以上220kV输电线路检修业绩或升压站检修业绩。（</w:t>
      </w:r>
      <w:r>
        <w:rPr>
          <w:rFonts w:hint="eastAsia" w:ascii="仿宋_GB2312" w:hAnsi="仿宋_GB2312" w:eastAsia="仿宋_GB2312" w:cs="仿宋_GB2312"/>
          <w:bCs/>
          <w:sz w:val="24"/>
          <w:highlight w:val="none"/>
          <w:u w:val="single"/>
          <w:lang w:val="en-US" w:eastAsia="zh-CN"/>
        </w:rPr>
        <w:t>必须提供3份及以上220kV输电线路检修业绩或升压站检修业绩。提供合同扫描件并加盖公司印章，合同扫描件应包括封面、签字页及能显示项目名称和内容部分，否则视同没提供该业绩。</w:t>
      </w:r>
      <w:r>
        <w:rPr>
          <w:rFonts w:hint="eastAsia" w:ascii="仿宋_GB2312" w:hAnsi="仿宋_GB2312" w:eastAsia="仿宋_GB2312" w:cs="仿宋_GB2312"/>
          <w:bCs/>
          <w:sz w:val="24"/>
          <w:highlight w:val="none"/>
          <w:lang w:val="en-US" w:eastAsia="zh-CN"/>
        </w:rPr>
        <w:t>）</w:t>
      </w:r>
    </w:p>
    <w:p>
      <w:pPr>
        <w:spacing w:line="400" w:lineRule="exact"/>
        <w:ind w:firstLine="420"/>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（四）比选申请人具备安全生产许可证。（</w:t>
      </w:r>
      <w:r>
        <w:rPr>
          <w:rFonts w:hint="eastAsia" w:ascii="仿宋_GB2312" w:hAnsi="仿宋_GB2312" w:eastAsia="仿宋_GB2312" w:cs="仿宋_GB2312"/>
          <w:bCs/>
          <w:sz w:val="24"/>
          <w:highlight w:val="none"/>
          <w:u w:val="single"/>
          <w:lang w:val="en-US" w:eastAsia="zh-CN"/>
        </w:rPr>
        <w:t>提供安全生产许可证复印件并加盖公司印章</w:t>
      </w:r>
      <w:r>
        <w:rPr>
          <w:rFonts w:hint="eastAsia" w:ascii="仿宋_GB2312" w:hAnsi="仿宋_GB2312" w:eastAsia="仿宋_GB2312" w:cs="仿宋_GB2312"/>
          <w:bCs/>
          <w:sz w:val="24"/>
          <w:highlight w:val="none"/>
          <w:lang w:val="en-US" w:eastAsia="zh-CN"/>
        </w:rPr>
        <w:t>）</w:t>
      </w:r>
    </w:p>
    <w:p>
      <w:pPr>
        <w:ind w:firstLine="420"/>
        <w:rPr>
          <w:rFonts w:hint="eastAsia"/>
          <w:lang w:val="en-US" w:eastAsia="zh-CN"/>
        </w:rPr>
      </w:pPr>
      <w:r>
        <w:rPr>
          <w:rFonts w:hint="eastAsia" w:ascii="仿宋_GB2312" w:hAnsi="仿宋_GB2312" w:eastAsia="仿宋_GB2312" w:cs="仿宋_GB2312"/>
          <w:bCs/>
          <w:sz w:val="24"/>
          <w:highlight w:val="none"/>
          <w:lang w:val="en-US" w:eastAsia="zh-CN"/>
        </w:rPr>
        <w:t>（五）本项目不接受联合体参选，严禁分包及转包。</w:t>
      </w:r>
    </w:p>
    <w:p>
      <w:pPr>
        <w:spacing w:line="400" w:lineRule="exact"/>
        <w:ind w:firstLine="420"/>
        <w:rPr>
          <w:rFonts w:hint="eastAsia" w:asciiTheme="minorEastAsia" w:hAnsiTheme="minorEastAsia" w:eastAsiaTheme="minorEastAsia" w:cstheme="minorEastAsia"/>
          <w:bCs/>
          <w:sz w:val="48"/>
          <w:szCs w:val="48"/>
          <w:highlight w:val="none"/>
        </w:rPr>
      </w:pPr>
      <w:r>
        <w:rPr>
          <w:rFonts w:hint="eastAsia" w:ascii="仿宋_GB2312" w:hAnsi="仿宋_GB2312" w:eastAsia="仿宋_GB2312" w:cs="仿宋_GB2312"/>
          <w:b/>
          <w:bCs w:val="0"/>
          <w:sz w:val="24"/>
          <w:highlight w:val="none"/>
          <w:lang w:val="en-US" w:eastAsia="zh-CN"/>
        </w:rPr>
        <w:t>备注：</w:t>
      </w:r>
      <w:r>
        <w:rPr>
          <w:rFonts w:hint="eastAsia" w:ascii="仿宋_GB2312" w:hAnsi="仿宋_GB2312" w:eastAsia="仿宋_GB2312" w:cs="仿宋_GB2312"/>
          <w:b/>
          <w:bCs w:val="0"/>
          <w:sz w:val="24"/>
          <w:highlight w:val="none"/>
        </w:rPr>
        <w:t>以上证明材料复印件均应加盖</w:t>
      </w:r>
      <w:r>
        <w:rPr>
          <w:rFonts w:hint="eastAsia" w:ascii="仿宋_GB2312" w:hAnsi="仿宋_GB2312" w:eastAsia="仿宋_GB2312" w:cs="仿宋_GB2312"/>
          <w:b/>
          <w:bCs w:val="0"/>
          <w:sz w:val="24"/>
          <w:highlight w:val="none"/>
          <w:lang w:val="en-US" w:eastAsia="zh-CN"/>
        </w:rPr>
        <w:t>公司印章</w:t>
      </w:r>
      <w:r>
        <w:rPr>
          <w:rFonts w:hint="eastAsia" w:ascii="仿宋_GB2312" w:hAnsi="仿宋_GB2312" w:eastAsia="仿宋_GB2312" w:cs="仿宋_GB2312"/>
          <w:b/>
          <w:bCs w:val="0"/>
          <w:sz w:val="24"/>
          <w:highlight w:val="none"/>
        </w:rPr>
        <w:t>。</w:t>
      </w:r>
    </w:p>
    <w:p>
      <w:pPr>
        <w:pStyle w:val="2"/>
        <w:rPr>
          <w:rFonts w:hint="eastAsia"/>
          <w:highlight w:val="none"/>
        </w:rPr>
      </w:pPr>
    </w:p>
    <w:p>
      <w:pPr>
        <w:spacing w:line="360" w:lineRule="auto"/>
        <w:rPr>
          <w:rFonts w:hint="eastAsia" w:ascii="仿宋" w:hAnsi="仿宋" w:eastAsia="仿宋" w:cs="仿宋"/>
          <w:bCs/>
          <w:sz w:val="48"/>
          <w:szCs w:val="48"/>
          <w:highlight w:val="none"/>
        </w:rPr>
      </w:pPr>
    </w:p>
    <w:p>
      <w:pPr>
        <w:spacing w:line="360" w:lineRule="auto"/>
        <w:ind w:firstLine="3600" w:firstLineChars="1500"/>
        <w:rPr>
          <w:rFonts w:hint="eastAsia" w:ascii="仿宋" w:hAnsi="仿宋" w:eastAsia="仿宋" w:cs="仿宋"/>
          <w:bCs/>
          <w:sz w:val="24"/>
          <w:highlight w:val="none"/>
          <w:u w:val="single"/>
        </w:rPr>
      </w:pPr>
      <w:r>
        <w:rPr>
          <w:rFonts w:hint="eastAsia" w:ascii="仿宋" w:hAnsi="仿宋" w:eastAsia="仿宋" w:cs="仿宋"/>
          <w:bCs/>
          <w:sz w:val="24"/>
          <w:highlight w:val="none"/>
        </w:rPr>
        <w:t>比选申请人：</w:t>
      </w:r>
      <w:r>
        <w:rPr>
          <w:rFonts w:hint="eastAsia" w:ascii="仿宋" w:hAnsi="仿宋" w:eastAsia="仿宋" w:cs="仿宋"/>
          <w:bCs/>
          <w:sz w:val="24"/>
          <w:highlight w:val="none"/>
          <w:u w:val="single"/>
        </w:rPr>
        <w:t xml:space="preserve">           （公章）         </w:t>
      </w:r>
    </w:p>
    <w:p>
      <w:pPr>
        <w:widowControl/>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法定代表人（或委托代理人）：</w:t>
      </w:r>
      <w:r>
        <w:rPr>
          <w:rFonts w:hint="eastAsia" w:ascii="仿宋" w:hAnsi="仿宋" w:eastAsia="仿宋" w:cs="仿宋"/>
          <w:bCs/>
          <w:sz w:val="24"/>
          <w:highlight w:val="none"/>
          <w:u w:val="single"/>
        </w:rPr>
        <w:t xml:space="preserve">            （签名）        </w:t>
      </w:r>
    </w:p>
    <w:p>
      <w:pPr>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360" w:lineRule="auto"/>
        <w:ind w:left="480"/>
        <w:rPr>
          <w:rFonts w:hint="eastAsia" w:ascii="仿宋" w:hAnsi="仿宋" w:eastAsia="仿宋" w:cs="仿宋"/>
          <w:sz w:val="24"/>
          <w:highlight w:val="none"/>
        </w:rPr>
      </w:pPr>
      <w:r>
        <w:rPr>
          <w:rFonts w:hint="eastAsia" w:ascii="仿宋" w:hAnsi="仿宋" w:eastAsia="仿宋" w:cs="仿宋"/>
          <w:bCs/>
          <w:szCs w:val="21"/>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ind w:left="480"/>
        <w:rPr>
          <w:rFonts w:hint="eastAsia" w:ascii="仿宋" w:hAnsi="仿宋" w:eastAsia="仿宋" w:cs="仿宋"/>
          <w:sz w:val="24"/>
          <w:highlight w:val="none"/>
        </w:rPr>
      </w:pPr>
    </w:p>
    <w:p>
      <w:pPr>
        <w:widowControl/>
        <w:jc w:val="left"/>
        <w:rPr>
          <w:rFonts w:hint="eastAsia" w:ascii="仿宋" w:hAnsi="仿宋" w:eastAsia="仿宋" w:cs="仿宋"/>
          <w:highlight w:val="none"/>
          <w:lang w:val="en-US" w:eastAsia="zh-CN"/>
        </w:rPr>
      </w:pPr>
    </w:p>
    <w:p>
      <w:pPr>
        <w:spacing w:line="400" w:lineRule="exact"/>
        <w:rPr>
          <w:rFonts w:hint="eastAsia" w:ascii="仿宋_GB2312" w:hAnsi="仿宋_GB2312" w:eastAsia="仿宋_GB2312" w:cs="仿宋_GB2312"/>
          <w:bCs/>
          <w:sz w:val="24"/>
          <w:highlight w:val="none"/>
          <w:lang w:val="en-US" w:eastAsia="zh-CN"/>
        </w:rPr>
      </w:pPr>
    </w:p>
    <w:bookmarkEnd w:id="65"/>
    <w:bookmarkEnd w:id="66"/>
    <w:bookmarkEnd w:id="67"/>
    <w:bookmarkEnd w:id="68"/>
    <w:bookmarkEnd w:id="69"/>
    <w:p>
      <w:pPr>
        <w:pStyle w:val="9"/>
        <w:rPr>
          <w:rFonts w:hint="eastAsia" w:ascii="仿宋" w:hAnsi="仿宋" w:eastAsia="仿宋" w:cs="仿宋"/>
          <w:highlight w:val="none"/>
          <w:lang w:val="en-US" w:eastAsia="zh-CN"/>
        </w:rPr>
      </w:pPr>
    </w:p>
    <w:p>
      <w:pPr>
        <w:pStyle w:val="9"/>
        <w:rPr>
          <w:rFonts w:hint="eastAsia" w:ascii="仿宋" w:hAnsi="仿宋" w:eastAsia="仿宋" w:cs="仿宋"/>
          <w:highlight w:val="none"/>
          <w:lang w:val="en-US" w:eastAsia="zh-CN"/>
        </w:rPr>
      </w:pPr>
    </w:p>
    <w:p>
      <w:pPr>
        <w:bidi w:val="0"/>
        <w:jc w:val="both"/>
        <w:rPr>
          <w:rFonts w:hint="eastAsia" w:ascii="仿宋" w:hAnsi="仿宋" w:eastAsia="仿宋" w:cs="仿宋"/>
          <w:b/>
          <w:sz w:val="28"/>
          <w:szCs w:val="28"/>
          <w:highlight w:val="none"/>
          <w:lang w:val="en-US" w:eastAsia="zh-CN"/>
        </w:rPr>
      </w:pPr>
    </w:p>
    <w:p>
      <w:pPr>
        <w:bidi w:val="0"/>
        <w:jc w:val="center"/>
        <w:rPr>
          <w:rFonts w:hint="eastAsia" w:ascii="宋体" w:hAnsi="宋体"/>
          <w:b/>
          <w:sz w:val="28"/>
          <w:szCs w:val="28"/>
          <w:highlight w:val="none"/>
          <w:lang w:val="en-US" w:eastAsia="zh-CN"/>
        </w:rPr>
      </w:pPr>
    </w:p>
    <w:p>
      <w:pPr>
        <w:bidi w:val="0"/>
        <w:jc w:val="center"/>
        <w:rPr>
          <w:rFonts w:hint="eastAsia" w:ascii="宋体" w:hAnsi="宋体"/>
          <w:b/>
          <w:sz w:val="28"/>
          <w:szCs w:val="28"/>
          <w:highlight w:val="none"/>
          <w:lang w:val="en-US" w:eastAsia="zh-CN"/>
        </w:rPr>
      </w:pPr>
    </w:p>
    <w:p>
      <w:pPr>
        <w:pStyle w:val="5"/>
        <w:numPr>
          <w:ilvl w:val="0"/>
          <w:numId w:val="0"/>
        </w:numPr>
        <w:tabs>
          <w:tab w:val="clear" w:pos="945"/>
        </w:tabs>
        <w:ind w:right="-630" w:rightChars="-300"/>
        <w:rPr>
          <w:rFonts w:hint="eastAsia"/>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3"/>
        <w:ind w:firstLine="0" w:firstLineChars="0"/>
        <w:rPr>
          <w:rFonts w:hint="eastAsia"/>
          <w:lang w:val="en-US" w:eastAsia="zh-CN"/>
        </w:rPr>
      </w:pPr>
    </w:p>
    <w:p>
      <w:pPr>
        <w:pStyle w:val="2"/>
        <w:numPr>
          <w:ilvl w:val="0"/>
          <w:numId w:val="7"/>
        </w:num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val="0"/>
          <w:highlight w:val="none"/>
          <w:lang w:val="en-US" w:eastAsia="zh-CN"/>
        </w:rPr>
        <w:t>业绩</w:t>
      </w:r>
    </w:p>
    <w:p>
      <w:pPr>
        <w:spacing w:line="400" w:lineRule="exact"/>
        <w:ind w:firstLine="42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提供3份及以上220kV输电线路检修业绩或升压站检修业绩，提供业绩证明文件。</w:t>
      </w:r>
    </w:p>
    <w:p>
      <w:pPr>
        <w:spacing w:line="360" w:lineRule="auto"/>
        <w:ind w:firstLine="422"/>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备注：（1）提供合同复印件以证明具有履约合同能力。</w:t>
      </w:r>
    </w:p>
    <w:p>
      <w:pPr>
        <w:spacing w:line="360" w:lineRule="auto"/>
        <w:ind w:firstLine="1200" w:firstLineChars="500"/>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（2）必须必须提供3份及以上220kV输电线路检修业绩或升压站检修业绩，合同扫描件并加盖公司印章，合同扫描件应包括封面、签字页及能显示项目名称和内容部分，否则视同没提供该业绩。</w:t>
      </w:r>
    </w:p>
    <w:p>
      <w:pPr>
        <w:spacing w:line="360" w:lineRule="auto"/>
        <w:ind w:firstLine="422"/>
        <w:rPr>
          <w:rFonts w:hint="eastAsia" w:ascii="仿宋_GB2312" w:hAnsi="仿宋_GB2312" w:eastAsia="仿宋_GB2312" w:cs="仿宋_GB2312"/>
          <w:bCs/>
          <w:sz w:val="24"/>
          <w:highlight w:val="none"/>
          <w:lang w:val="en-US" w:eastAsia="zh-CN"/>
        </w:rPr>
      </w:pPr>
    </w:p>
    <w:p>
      <w:pPr>
        <w:bidi w:val="0"/>
        <w:ind w:firstLine="480" w:firstLineChars="200"/>
        <w:jc w:val="both"/>
        <w:rPr>
          <w:rFonts w:hint="eastAsia" w:asciiTheme="minorEastAsia" w:hAnsiTheme="minorEastAsia" w:eastAsiaTheme="minorEastAsia" w:cstheme="minorEastAsia"/>
          <w:b w:val="0"/>
          <w:bCs/>
          <w:kern w:val="2"/>
          <w:sz w:val="24"/>
          <w:szCs w:val="24"/>
          <w:highlight w:val="none"/>
          <w:lang w:val="en-US" w:eastAsia="zh-CN" w:bidi="ar-SA"/>
        </w:rPr>
      </w:pPr>
    </w:p>
    <w:p>
      <w:pPr>
        <w:bidi w:val="0"/>
        <w:ind w:firstLine="480" w:firstLineChars="200"/>
        <w:jc w:val="both"/>
        <w:rPr>
          <w:rFonts w:hint="eastAsia" w:asciiTheme="minorEastAsia" w:hAnsiTheme="minorEastAsia" w:eastAsiaTheme="minorEastAsia" w:cstheme="minorEastAsia"/>
          <w:b w:val="0"/>
          <w:bCs/>
          <w:kern w:val="2"/>
          <w:sz w:val="24"/>
          <w:szCs w:val="24"/>
          <w:highlight w:val="none"/>
          <w:lang w:val="en-US" w:eastAsia="zh-CN" w:bidi="ar-SA"/>
        </w:rPr>
      </w:pPr>
    </w:p>
    <w:p>
      <w:pPr>
        <w:bidi w:val="0"/>
        <w:ind w:firstLine="480" w:firstLineChars="200"/>
        <w:jc w:val="both"/>
        <w:rPr>
          <w:rFonts w:hint="eastAsia" w:asciiTheme="minorEastAsia" w:hAnsiTheme="minorEastAsia" w:eastAsiaTheme="minorEastAsia" w:cstheme="minorEastAsia"/>
          <w:b w:val="0"/>
          <w:bCs/>
          <w:kern w:val="2"/>
          <w:sz w:val="24"/>
          <w:szCs w:val="24"/>
          <w:highlight w:val="none"/>
          <w:lang w:val="en-US" w:eastAsia="zh-CN" w:bidi="ar-SA"/>
        </w:rPr>
      </w:pPr>
    </w:p>
    <w:p>
      <w:pPr>
        <w:bidi w:val="0"/>
        <w:ind w:firstLine="480" w:firstLineChars="200"/>
        <w:jc w:val="both"/>
        <w:rPr>
          <w:rFonts w:hint="eastAsia" w:asciiTheme="minorEastAsia" w:hAnsiTheme="minorEastAsia" w:eastAsiaTheme="minorEastAsia" w:cstheme="minorEastAsia"/>
          <w:b w:val="0"/>
          <w:bCs/>
          <w:kern w:val="2"/>
          <w:sz w:val="24"/>
          <w:szCs w:val="24"/>
          <w:highlight w:val="none"/>
          <w:lang w:val="en-US" w:eastAsia="zh-CN" w:bidi="ar-SA"/>
        </w:rPr>
      </w:pPr>
    </w:p>
    <w:p>
      <w:pPr>
        <w:pStyle w:val="2"/>
        <w:rPr>
          <w:rFonts w:hint="eastAsia" w:asciiTheme="minorEastAsia" w:hAnsiTheme="minorEastAsia" w:eastAsiaTheme="minorEastAsia" w:cstheme="minorEastAsia"/>
          <w:b w:val="0"/>
          <w:bCs/>
          <w:kern w:val="2"/>
          <w:sz w:val="24"/>
          <w:szCs w:val="24"/>
          <w:highlight w:val="none"/>
          <w:lang w:val="en-US" w:eastAsia="zh-CN" w:bidi="ar-SA"/>
        </w:rPr>
      </w:pPr>
    </w:p>
    <w:p>
      <w:pPr>
        <w:pStyle w:val="3"/>
        <w:rPr>
          <w:rFonts w:hint="eastAsia" w:asciiTheme="minorEastAsia" w:hAnsiTheme="minorEastAsia" w:eastAsiaTheme="minorEastAsia" w:cstheme="minorEastAsia"/>
          <w:b w:val="0"/>
          <w:bCs/>
          <w:kern w:val="2"/>
          <w:sz w:val="24"/>
          <w:szCs w:val="24"/>
          <w:highlight w:val="none"/>
          <w:lang w:val="en-US" w:eastAsia="zh-CN" w:bidi="ar-SA"/>
        </w:rPr>
      </w:pPr>
    </w:p>
    <w:p>
      <w:pPr>
        <w:pStyle w:val="3"/>
        <w:rPr>
          <w:rFonts w:hint="eastAsia" w:asciiTheme="minorEastAsia" w:hAnsiTheme="minorEastAsia" w:eastAsiaTheme="minorEastAsia" w:cstheme="minorEastAsia"/>
          <w:b w:val="0"/>
          <w:bCs/>
          <w:kern w:val="2"/>
          <w:sz w:val="24"/>
          <w:szCs w:val="24"/>
          <w:highlight w:val="none"/>
          <w:lang w:val="en-US" w:eastAsia="zh-CN" w:bidi="ar-SA"/>
        </w:rPr>
      </w:pPr>
    </w:p>
    <w:p>
      <w:pPr>
        <w:pStyle w:val="3"/>
        <w:rPr>
          <w:rFonts w:hint="eastAsia" w:asciiTheme="minorEastAsia" w:hAnsiTheme="minorEastAsia" w:eastAsiaTheme="minorEastAsia" w:cstheme="minorEastAsia"/>
          <w:b w:val="0"/>
          <w:bCs/>
          <w:kern w:val="2"/>
          <w:sz w:val="24"/>
          <w:szCs w:val="24"/>
          <w:highlight w:val="none"/>
          <w:lang w:val="en-US" w:eastAsia="zh-CN" w:bidi="ar-SA"/>
        </w:rPr>
      </w:pPr>
    </w:p>
    <w:p>
      <w:pPr>
        <w:bidi w:val="0"/>
        <w:ind w:firstLine="480" w:firstLineChars="200"/>
        <w:jc w:val="both"/>
        <w:rPr>
          <w:rFonts w:hint="eastAsia" w:asciiTheme="minorEastAsia" w:hAnsiTheme="minorEastAsia" w:eastAsiaTheme="minorEastAsia" w:cstheme="minorEastAsia"/>
          <w:b w:val="0"/>
          <w:bCs/>
          <w:kern w:val="2"/>
          <w:sz w:val="24"/>
          <w:szCs w:val="24"/>
          <w:highlight w:val="none"/>
          <w:lang w:val="en-US" w:eastAsia="zh-CN" w:bidi="ar-SA"/>
        </w:rPr>
      </w:pPr>
    </w:p>
    <w:p>
      <w:pPr>
        <w:spacing w:line="360" w:lineRule="auto"/>
        <w:ind w:firstLine="3600" w:firstLineChars="1500"/>
        <w:rPr>
          <w:rFonts w:hint="eastAsia" w:ascii="仿宋" w:hAnsi="仿宋" w:eastAsia="仿宋" w:cs="仿宋"/>
          <w:bCs/>
          <w:sz w:val="24"/>
          <w:highlight w:val="none"/>
          <w:u w:val="single"/>
        </w:rPr>
      </w:pPr>
      <w:r>
        <w:rPr>
          <w:rFonts w:hint="eastAsia" w:ascii="仿宋" w:hAnsi="仿宋" w:eastAsia="仿宋" w:cs="仿宋"/>
          <w:bCs/>
          <w:sz w:val="24"/>
          <w:highlight w:val="none"/>
        </w:rPr>
        <w:t>比选申请人：</w:t>
      </w:r>
      <w:r>
        <w:rPr>
          <w:rFonts w:hint="eastAsia" w:ascii="仿宋" w:hAnsi="仿宋" w:eastAsia="仿宋" w:cs="仿宋"/>
          <w:bCs/>
          <w:sz w:val="24"/>
          <w:highlight w:val="none"/>
          <w:u w:val="single"/>
        </w:rPr>
        <w:t xml:space="preserve">           （公章）         </w:t>
      </w:r>
    </w:p>
    <w:p>
      <w:pPr>
        <w:widowControl/>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法定代表人（或委托代理人）：</w:t>
      </w:r>
      <w:r>
        <w:rPr>
          <w:rFonts w:hint="eastAsia" w:ascii="仿宋" w:hAnsi="仿宋" w:eastAsia="仿宋" w:cs="仿宋"/>
          <w:bCs/>
          <w:sz w:val="24"/>
          <w:highlight w:val="none"/>
          <w:u w:val="single"/>
        </w:rPr>
        <w:t xml:space="preserve">            （签名）        </w:t>
      </w:r>
    </w:p>
    <w:p>
      <w:pPr>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360" w:lineRule="auto"/>
        <w:ind w:left="480"/>
        <w:rPr>
          <w:rFonts w:hint="eastAsia" w:ascii="仿宋" w:hAnsi="仿宋" w:eastAsia="仿宋" w:cs="仿宋"/>
          <w:sz w:val="24"/>
          <w:highlight w:val="none"/>
        </w:rPr>
      </w:pPr>
      <w:r>
        <w:rPr>
          <w:rFonts w:hint="eastAsia" w:ascii="仿宋" w:hAnsi="仿宋" w:eastAsia="仿宋" w:cs="仿宋"/>
          <w:bCs/>
          <w:szCs w:val="21"/>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bidi w:val="0"/>
        <w:ind w:firstLine="480" w:firstLineChars="200"/>
        <w:jc w:val="both"/>
        <w:rPr>
          <w:rFonts w:hint="eastAsia" w:asciiTheme="minorEastAsia" w:hAnsiTheme="minorEastAsia" w:eastAsiaTheme="minorEastAsia" w:cstheme="minorEastAsia"/>
          <w:b w:val="0"/>
          <w:bCs/>
          <w:kern w:val="2"/>
          <w:sz w:val="24"/>
          <w:szCs w:val="24"/>
          <w:highlight w:val="none"/>
          <w:lang w:val="en-US" w:eastAsia="zh-CN" w:bidi="ar-SA"/>
        </w:rPr>
      </w:pPr>
    </w:p>
    <w:p>
      <w:pPr>
        <w:bidi w:val="0"/>
        <w:ind w:firstLine="480" w:firstLineChars="200"/>
        <w:jc w:val="both"/>
        <w:rPr>
          <w:rFonts w:hint="eastAsia" w:asciiTheme="minorEastAsia" w:hAnsiTheme="minorEastAsia" w:eastAsiaTheme="minorEastAsia" w:cstheme="minorEastAsia"/>
          <w:b w:val="0"/>
          <w:bCs/>
          <w:kern w:val="2"/>
          <w:sz w:val="24"/>
          <w:szCs w:val="24"/>
          <w:highlight w:val="none"/>
          <w:lang w:val="en-US" w:eastAsia="zh-CN" w:bidi="ar-SA"/>
        </w:rPr>
      </w:pPr>
    </w:p>
    <w:p>
      <w:pPr>
        <w:bidi w:val="0"/>
        <w:ind w:firstLine="480" w:firstLineChars="200"/>
        <w:jc w:val="both"/>
        <w:rPr>
          <w:rFonts w:hint="eastAsia" w:asciiTheme="minorEastAsia" w:hAnsiTheme="minorEastAsia" w:eastAsiaTheme="minorEastAsia" w:cstheme="minorEastAsia"/>
          <w:b w:val="0"/>
          <w:bCs/>
          <w:kern w:val="2"/>
          <w:sz w:val="24"/>
          <w:szCs w:val="24"/>
          <w:highlight w:val="none"/>
          <w:lang w:val="en-US" w:eastAsia="zh-CN" w:bidi="ar-SA"/>
        </w:rPr>
      </w:pPr>
    </w:p>
    <w:p>
      <w:pPr>
        <w:pStyle w:val="3"/>
        <w:widowControl w:val="0"/>
        <w:numPr>
          <w:ilvl w:val="0"/>
          <w:numId w:val="0"/>
        </w:numPr>
        <w:spacing w:after="120"/>
        <w:jc w:val="both"/>
        <w:rPr>
          <w:rFonts w:hint="eastAsia"/>
          <w:lang w:val="en-US" w:eastAsia="zh-CN"/>
        </w:rPr>
      </w:pPr>
    </w:p>
    <w:p>
      <w:pPr>
        <w:pStyle w:val="3"/>
        <w:widowControl w:val="0"/>
        <w:numPr>
          <w:ilvl w:val="0"/>
          <w:numId w:val="0"/>
        </w:numPr>
        <w:spacing w:after="120"/>
        <w:jc w:val="both"/>
        <w:rPr>
          <w:rFonts w:hint="eastAsia"/>
          <w:lang w:val="en-US" w:eastAsia="zh-CN"/>
        </w:rPr>
      </w:pPr>
    </w:p>
    <w:p>
      <w:pPr>
        <w:pStyle w:val="3"/>
        <w:widowControl w:val="0"/>
        <w:numPr>
          <w:ilvl w:val="0"/>
          <w:numId w:val="0"/>
        </w:numPr>
        <w:spacing w:after="120"/>
        <w:jc w:val="both"/>
        <w:rPr>
          <w:rFonts w:hint="eastAsia"/>
          <w:lang w:val="en-US" w:eastAsia="zh-CN"/>
        </w:rPr>
      </w:pPr>
    </w:p>
    <w:p>
      <w:pPr>
        <w:pStyle w:val="3"/>
        <w:widowControl w:val="0"/>
        <w:numPr>
          <w:ilvl w:val="0"/>
          <w:numId w:val="0"/>
        </w:numPr>
        <w:spacing w:after="120"/>
        <w:jc w:val="both"/>
        <w:rPr>
          <w:rFonts w:hint="eastAsia"/>
          <w:lang w:val="en-US" w:eastAsia="zh-CN"/>
        </w:rPr>
      </w:pPr>
    </w:p>
    <w:p>
      <w:pPr>
        <w:pStyle w:val="3"/>
        <w:widowControl w:val="0"/>
        <w:numPr>
          <w:ilvl w:val="0"/>
          <w:numId w:val="0"/>
        </w:numPr>
        <w:spacing w:after="120"/>
        <w:jc w:val="both"/>
        <w:rPr>
          <w:rFonts w:hint="eastAsia"/>
          <w:lang w:val="en-US" w:eastAsia="zh-CN"/>
        </w:rPr>
      </w:pPr>
    </w:p>
    <w:p>
      <w:pPr>
        <w:pStyle w:val="3"/>
        <w:widowControl w:val="0"/>
        <w:numPr>
          <w:ilvl w:val="0"/>
          <w:numId w:val="0"/>
        </w:numPr>
        <w:spacing w:after="120"/>
        <w:jc w:val="both"/>
        <w:rPr>
          <w:rFonts w:hint="eastAsia"/>
          <w:lang w:val="en-US" w:eastAsia="zh-CN"/>
        </w:rPr>
      </w:pPr>
    </w:p>
    <w:p>
      <w:pPr>
        <w:pStyle w:val="3"/>
        <w:widowControl w:val="0"/>
        <w:numPr>
          <w:ilvl w:val="0"/>
          <w:numId w:val="0"/>
        </w:numPr>
        <w:spacing w:after="120"/>
        <w:jc w:val="both"/>
        <w:rPr>
          <w:rFonts w:hint="eastAsia"/>
          <w:lang w:val="en-US" w:eastAsia="zh-CN"/>
        </w:rPr>
      </w:pPr>
    </w:p>
    <w:p>
      <w:pPr>
        <w:pStyle w:val="3"/>
        <w:widowControl w:val="0"/>
        <w:numPr>
          <w:ilvl w:val="0"/>
          <w:numId w:val="0"/>
        </w:numPr>
        <w:spacing w:after="120"/>
        <w:jc w:val="both"/>
        <w:rPr>
          <w:rFonts w:hint="eastAsia"/>
          <w:lang w:val="en-US" w:eastAsia="zh-CN"/>
        </w:rPr>
      </w:pPr>
    </w:p>
    <w:p>
      <w:pPr>
        <w:pStyle w:val="3"/>
        <w:widowControl w:val="0"/>
        <w:numPr>
          <w:ilvl w:val="0"/>
          <w:numId w:val="0"/>
        </w:numPr>
        <w:spacing w:after="120"/>
        <w:jc w:val="both"/>
        <w:rPr>
          <w:rFonts w:hint="eastAsia"/>
          <w:lang w:val="en-US" w:eastAsia="zh-CN"/>
        </w:rPr>
      </w:pPr>
    </w:p>
    <w:p>
      <w:pPr>
        <w:pStyle w:val="2"/>
        <w:rPr>
          <w:rFonts w:hint="default" w:asciiTheme="minorEastAsia" w:hAnsiTheme="minorEastAsia" w:eastAsiaTheme="minorEastAsia" w:cstheme="minorEastAsia"/>
          <w:b/>
          <w:bCs w:val="0"/>
          <w:highlight w:val="none"/>
          <w:lang w:val="en-US" w:eastAsia="zh-CN"/>
        </w:rPr>
      </w:pPr>
      <w:r>
        <w:rPr>
          <w:rFonts w:hint="eastAsia" w:asciiTheme="minorEastAsia" w:hAnsiTheme="minorEastAsia" w:eastAsiaTheme="minorEastAsia" w:cstheme="minorEastAsia"/>
          <w:b/>
          <w:bCs w:val="0"/>
          <w:highlight w:val="none"/>
          <w:lang w:val="en-US" w:eastAsia="zh-CN"/>
        </w:rPr>
        <w:t>七、检修措施</w:t>
      </w:r>
    </w:p>
    <w:p>
      <w:pPr>
        <w:spacing w:line="360" w:lineRule="auto"/>
        <w:ind w:firstLine="422"/>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依据《川投(达州）燃气发电有限公司220kV升压站#1主变间隔、#2主变间隔、启备变间隔、母联间隔、燃州线间隔、燃化线间隔悬式绝缘子、耐张绝缘子检修技术规范书》编写检修措施，按比选申请人提供检修质量标准及验收依据、设备检修后的达到的标准或要求、可信度和比选申请人的技术服务组织、服务的能力以及比选申请人提供的认证资料等综合评定。格式自拟，并加盖公司印章。</w:t>
      </w:r>
    </w:p>
    <w:p>
      <w:pPr>
        <w:spacing w:line="360" w:lineRule="auto"/>
        <w:ind w:firstLine="422"/>
        <w:rPr>
          <w:rFonts w:hint="eastAsia" w:ascii="仿宋_GB2312" w:hAnsi="仿宋_GB2312" w:eastAsia="仿宋_GB2312" w:cs="仿宋_GB2312"/>
          <w:bCs/>
          <w:sz w:val="24"/>
          <w:highlight w:val="none"/>
          <w:lang w:val="en-US" w:eastAsia="zh-CN"/>
        </w:rPr>
      </w:pPr>
    </w:p>
    <w:p>
      <w:pPr>
        <w:pStyle w:val="7"/>
        <w:numPr>
          <w:ilvl w:val="0"/>
          <w:numId w:val="0"/>
        </w:numPr>
        <w:ind w:firstLine="482" w:firstLineChars="200"/>
        <w:rPr>
          <w:rFonts w:hint="eastAsia" w:asciiTheme="minorEastAsia" w:hAnsiTheme="minorEastAsia" w:eastAsiaTheme="minorEastAsia" w:cstheme="minorEastAsia"/>
          <w:b/>
          <w:bCs w:val="0"/>
          <w:highlight w:val="none"/>
          <w:lang w:val="en-US" w:eastAsia="zh-CN"/>
        </w:rPr>
      </w:pPr>
    </w:p>
    <w:p>
      <w:pPr>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spacing w:line="360" w:lineRule="auto"/>
        <w:rPr>
          <w:rFonts w:hint="eastAsia" w:ascii="仿宋" w:hAnsi="仿宋" w:eastAsia="仿宋" w:cs="仿宋"/>
          <w:bCs/>
          <w:sz w:val="48"/>
          <w:szCs w:val="48"/>
          <w:highlight w:val="none"/>
        </w:rPr>
      </w:pPr>
    </w:p>
    <w:p>
      <w:pPr>
        <w:pStyle w:val="2"/>
        <w:rPr>
          <w:rFonts w:hint="eastAsia" w:ascii="仿宋" w:hAnsi="仿宋" w:eastAsia="仿宋" w:cs="仿宋"/>
          <w:bCs/>
          <w:sz w:val="48"/>
          <w:szCs w:val="48"/>
          <w:highlight w:val="none"/>
        </w:rPr>
      </w:pPr>
    </w:p>
    <w:p>
      <w:pPr>
        <w:pStyle w:val="3"/>
        <w:rPr>
          <w:rFonts w:hint="eastAsia" w:ascii="仿宋" w:hAnsi="仿宋" w:eastAsia="仿宋" w:cs="仿宋"/>
          <w:bCs/>
          <w:sz w:val="48"/>
          <w:szCs w:val="48"/>
          <w:highlight w:val="none"/>
        </w:rPr>
      </w:pPr>
    </w:p>
    <w:p>
      <w:pPr>
        <w:pStyle w:val="3"/>
        <w:rPr>
          <w:rFonts w:hint="eastAsia" w:ascii="仿宋" w:hAnsi="仿宋" w:eastAsia="仿宋" w:cs="仿宋"/>
          <w:bCs/>
          <w:sz w:val="48"/>
          <w:szCs w:val="48"/>
          <w:highlight w:val="none"/>
        </w:rPr>
      </w:pPr>
    </w:p>
    <w:p>
      <w:pPr>
        <w:pStyle w:val="3"/>
        <w:rPr>
          <w:rFonts w:hint="eastAsia" w:ascii="仿宋" w:hAnsi="仿宋" w:eastAsia="仿宋" w:cs="仿宋"/>
          <w:bCs/>
          <w:sz w:val="48"/>
          <w:szCs w:val="48"/>
          <w:highlight w:val="none"/>
        </w:rPr>
      </w:pPr>
    </w:p>
    <w:p>
      <w:pPr>
        <w:pStyle w:val="3"/>
        <w:rPr>
          <w:rFonts w:hint="eastAsia" w:ascii="仿宋" w:hAnsi="仿宋" w:eastAsia="仿宋" w:cs="仿宋"/>
          <w:bCs/>
          <w:sz w:val="48"/>
          <w:szCs w:val="48"/>
          <w:highlight w:val="none"/>
        </w:rPr>
      </w:pPr>
    </w:p>
    <w:p>
      <w:pPr>
        <w:pStyle w:val="3"/>
        <w:rPr>
          <w:rFonts w:hint="eastAsia" w:ascii="仿宋" w:hAnsi="仿宋" w:eastAsia="仿宋" w:cs="仿宋"/>
          <w:bCs/>
          <w:sz w:val="48"/>
          <w:szCs w:val="48"/>
          <w:highlight w:val="none"/>
        </w:rPr>
      </w:pPr>
    </w:p>
    <w:p>
      <w:pPr>
        <w:spacing w:line="360" w:lineRule="auto"/>
        <w:ind w:firstLine="3600" w:firstLineChars="1500"/>
        <w:rPr>
          <w:rFonts w:hint="eastAsia" w:ascii="仿宋" w:hAnsi="仿宋" w:eastAsia="仿宋" w:cs="仿宋"/>
          <w:bCs/>
          <w:sz w:val="24"/>
          <w:highlight w:val="none"/>
          <w:u w:val="single"/>
        </w:rPr>
      </w:pPr>
      <w:r>
        <w:rPr>
          <w:rFonts w:hint="eastAsia" w:ascii="仿宋" w:hAnsi="仿宋" w:eastAsia="仿宋" w:cs="仿宋"/>
          <w:bCs/>
          <w:sz w:val="24"/>
          <w:highlight w:val="none"/>
        </w:rPr>
        <w:t>比选申请人：</w:t>
      </w:r>
      <w:r>
        <w:rPr>
          <w:rFonts w:hint="eastAsia" w:ascii="仿宋" w:hAnsi="仿宋" w:eastAsia="仿宋" w:cs="仿宋"/>
          <w:bCs/>
          <w:sz w:val="24"/>
          <w:highlight w:val="none"/>
          <w:u w:val="single"/>
        </w:rPr>
        <w:t xml:space="preserve">           （公章）         </w:t>
      </w:r>
    </w:p>
    <w:p>
      <w:pPr>
        <w:widowControl/>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法定代表人（或委托代理人）：</w:t>
      </w:r>
      <w:r>
        <w:rPr>
          <w:rFonts w:hint="eastAsia" w:ascii="仿宋" w:hAnsi="仿宋" w:eastAsia="仿宋" w:cs="仿宋"/>
          <w:bCs/>
          <w:sz w:val="24"/>
          <w:highlight w:val="none"/>
          <w:u w:val="single"/>
        </w:rPr>
        <w:t xml:space="preserve">            （签名）        </w:t>
      </w:r>
    </w:p>
    <w:p>
      <w:pPr>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360" w:lineRule="auto"/>
        <w:ind w:left="480"/>
        <w:rPr>
          <w:rFonts w:hint="eastAsia" w:ascii="仿宋" w:hAnsi="仿宋" w:eastAsia="仿宋" w:cs="仿宋"/>
          <w:sz w:val="24"/>
          <w:highlight w:val="none"/>
        </w:rPr>
      </w:pPr>
      <w:r>
        <w:rPr>
          <w:rFonts w:hint="eastAsia" w:ascii="仿宋" w:hAnsi="仿宋" w:eastAsia="仿宋" w:cs="仿宋"/>
          <w:bCs/>
          <w:szCs w:val="21"/>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default" w:asciiTheme="minorEastAsia" w:hAnsiTheme="minorEastAsia" w:eastAsiaTheme="minorEastAsia" w:cstheme="minorEastAsia"/>
          <w:b/>
          <w:bCs w:val="0"/>
          <w:highlight w:val="none"/>
          <w:lang w:val="en-US" w:eastAsia="zh-CN"/>
        </w:rPr>
      </w:pPr>
      <w:r>
        <w:rPr>
          <w:rFonts w:hint="eastAsia" w:asciiTheme="minorEastAsia" w:hAnsiTheme="minorEastAsia" w:eastAsiaTheme="minorEastAsia" w:cstheme="minorEastAsia"/>
          <w:b/>
          <w:bCs w:val="0"/>
          <w:highlight w:val="none"/>
          <w:lang w:val="en-US" w:eastAsia="zh-CN"/>
        </w:rPr>
        <w:t>八、安全文明施工管理</w:t>
      </w:r>
    </w:p>
    <w:p>
      <w:pPr>
        <w:spacing w:line="360" w:lineRule="auto"/>
        <w:ind w:firstLine="422"/>
        <w:rPr>
          <w:rFonts w:hint="eastAsia"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lang w:val="en-US" w:eastAsia="zh-CN"/>
        </w:rPr>
        <w:t>依据《川投(达州）燃气发电有限公司220kV升压站#1主变间隔、#2主变间隔、启备变间隔、母联间隔、燃州线间隔、燃化线间隔悬式绝缘子、耐张绝缘子检修技术规范书》编写安全文明施工管理举措,安全、环保管理体系及措施可行，符合电厂安全文明生产管理要求，格式自拟，并加盖公司印章。</w:t>
      </w:r>
    </w:p>
    <w:p>
      <w:pPr>
        <w:spacing w:line="360" w:lineRule="auto"/>
        <w:ind w:firstLine="422"/>
        <w:rPr>
          <w:rFonts w:hint="eastAsia" w:ascii="仿宋_GB2312" w:hAnsi="仿宋_GB2312" w:eastAsia="仿宋_GB2312" w:cs="仿宋_GB2312"/>
          <w:bCs/>
          <w:sz w:val="24"/>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2"/>
        <w:rPr>
          <w:rFonts w:hint="eastAsia" w:asciiTheme="minorEastAsia" w:hAnsiTheme="minorEastAsia" w:eastAsiaTheme="minorEastAsia" w:cstheme="minorEastAsia"/>
          <w:b/>
          <w:bCs w:val="0"/>
          <w:highlight w:val="none"/>
          <w:lang w:val="en-US" w:eastAsia="zh-CN"/>
        </w:rPr>
      </w:pPr>
    </w:p>
    <w:p>
      <w:pPr>
        <w:pStyle w:val="7"/>
        <w:numPr>
          <w:ilvl w:val="0"/>
          <w:numId w:val="0"/>
        </w:numPr>
        <w:ind w:firstLine="482" w:firstLineChars="200"/>
        <w:rPr>
          <w:rFonts w:hint="eastAsia" w:asciiTheme="minorEastAsia" w:hAnsiTheme="minorEastAsia" w:eastAsiaTheme="minorEastAsia" w:cstheme="minorEastAsia"/>
          <w:b/>
          <w:bCs w:val="0"/>
          <w:highlight w:val="none"/>
          <w:lang w:val="en-US" w:eastAsia="zh-CN"/>
        </w:rPr>
      </w:pPr>
    </w:p>
    <w:p>
      <w:pPr>
        <w:pStyle w:val="7"/>
        <w:numPr>
          <w:ilvl w:val="0"/>
          <w:numId w:val="0"/>
        </w:numPr>
        <w:ind w:firstLine="482" w:firstLineChars="200"/>
        <w:rPr>
          <w:rFonts w:hint="eastAsia" w:asciiTheme="minorEastAsia" w:hAnsiTheme="minorEastAsia" w:eastAsiaTheme="minorEastAsia" w:cstheme="minorEastAsia"/>
          <w:b/>
          <w:bCs w:val="0"/>
          <w:highlight w:val="none"/>
          <w:lang w:val="en-US" w:eastAsia="zh-CN"/>
        </w:rPr>
      </w:pPr>
    </w:p>
    <w:p>
      <w:pPr>
        <w:pStyle w:val="7"/>
        <w:numPr>
          <w:ilvl w:val="0"/>
          <w:numId w:val="0"/>
        </w:numPr>
        <w:ind w:firstLine="482" w:firstLineChars="200"/>
        <w:rPr>
          <w:rFonts w:hint="eastAsia" w:asciiTheme="minorEastAsia" w:hAnsiTheme="minorEastAsia" w:eastAsiaTheme="minorEastAsia" w:cstheme="minorEastAsia"/>
          <w:b/>
          <w:bCs w:val="0"/>
          <w:highlight w:val="none"/>
          <w:lang w:val="en-US" w:eastAsia="zh-CN"/>
        </w:rPr>
      </w:pPr>
    </w:p>
    <w:p>
      <w:pPr>
        <w:pStyle w:val="7"/>
        <w:numPr>
          <w:ilvl w:val="0"/>
          <w:numId w:val="0"/>
        </w:numPr>
        <w:rPr>
          <w:rFonts w:hint="eastAsia" w:asciiTheme="minorEastAsia" w:hAnsiTheme="minorEastAsia" w:eastAsiaTheme="minorEastAsia" w:cstheme="minorEastAsia"/>
          <w:b/>
          <w:bCs w:val="0"/>
          <w:highlight w:val="none"/>
          <w:lang w:val="en-US" w:eastAsia="zh-CN"/>
        </w:rPr>
      </w:pPr>
    </w:p>
    <w:p>
      <w:pPr>
        <w:spacing w:line="360" w:lineRule="auto"/>
        <w:ind w:firstLine="3600" w:firstLineChars="1500"/>
        <w:rPr>
          <w:rFonts w:hint="eastAsia" w:ascii="仿宋" w:hAnsi="仿宋" w:eastAsia="仿宋" w:cs="仿宋"/>
          <w:bCs/>
          <w:sz w:val="24"/>
          <w:highlight w:val="none"/>
          <w:u w:val="single"/>
        </w:rPr>
      </w:pPr>
      <w:r>
        <w:rPr>
          <w:rFonts w:hint="eastAsia" w:ascii="仿宋" w:hAnsi="仿宋" w:eastAsia="仿宋" w:cs="仿宋"/>
          <w:bCs/>
          <w:sz w:val="24"/>
          <w:highlight w:val="none"/>
        </w:rPr>
        <w:t>比选申请人：</w:t>
      </w:r>
      <w:r>
        <w:rPr>
          <w:rFonts w:hint="eastAsia" w:ascii="仿宋" w:hAnsi="仿宋" w:eastAsia="仿宋" w:cs="仿宋"/>
          <w:bCs/>
          <w:sz w:val="24"/>
          <w:highlight w:val="none"/>
          <w:u w:val="single"/>
        </w:rPr>
        <w:t xml:space="preserve">           （公章）         </w:t>
      </w:r>
    </w:p>
    <w:p>
      <w:pPr>
        <w:widowControl/>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法定代表人（或委托代理人）：</w:t>
      </w:r>
      <w:r>
        <w:rPr>
          <w:rFonts w:hint="eastAsia" w:ascii="仿宋" w:hAnsi="仿宋" w:eastAsia="仿宋" w:cs="仿宋"/>
          <w:bCs/>
          <w:sz w:val="24"/>
          <w:highlight w:val="none"/>
          <w:u w:val="single"/>
        </w:rPr>
        <w:t xml:space="preserve">            （签名）        </w:t>
      </w:r>
    </w:p>
    <w:p>
      <w:pPr>
        <w:spacing w:line="360" w:lineRule="auto"/>
        <w:ind w:firstLine="420"/>
        <w:rPr>
          <w:rFonts w:hint="eastAsia" w:ascii="仿宋" w:hAnsi="仿宋" w:eastAsia="仿宋" w:cs="仿宋"/>
          <w:bCs/>
          <w:sz w:val="24"/>
          <w:highlight w:val="none"/>
        </w:rPr>
      </w:pPr>
      <w:r>
        <w:rPr>
          <w:rFonts w:hint="eastAsia" w:ascii="仿宋" w:hAnsi="仿宋" w:eastAsia="仿宋" w:cs="仿宋"/>
          <w:bCs/>
          <w:sz w:val="24"/>
          <w:highlight w:val="none"/>
        </w:rPr>
        <w:t xml:space="preserve">                                                 </w:t>
      </w:r>
    </w:p>
    <w:p>
      <w:pPr>
        <w:spacing w:line="360" w:lineRule="auto"/>
        <w:ind w:left="480"/>
        <w:rPr>
          <w:rFonts w:hint="eastAsia" w:ascii="仿宋" w:hAnsi="仿宋" w:eastAsia="仿宋" w:cs="仿宋"/>
          <w:sz w:val="24"/>
          <w:highlight w:val="none"/>
        </w:rPr>
      </w:pPr>
      <w:r>
        <w:rPr>
          <w:rFonts w:hint="eastAsia" w:ascii="仿宋" w:hAnsi="仿宋" w:eastAsia="仿宋" w:cs="仿宋"/>
          <w:bCs/>
          <w:szCs w:val="21"/>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rPr>
          <w:rFonts w:hint="eastAsia" w:asciiTheme="minorEastAsia" w:hAnsiTheme="minorEastAsia" w:eastAsiaTheme="minorEastAsia" w:cstheme="minorEastAsia"/>
          <w:b/>
          <w:bCs w:val="0"/>
          <w:highlight w:val="none"/>
          <w:lang w:val="en-US" w:eastAsia="zh-CN"/>
        </w:rPr>
      </w:pPr>
    </w:p>
    <w:p>
      <w:pPr>
        <w:pStyle w:val="2"/>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right="0" w:rightChars="0"/>
        <w:jc w:val="both"/>
        <w:textAlignment w:val="baseline"/>
        <w:rPr>
          <w:rFonts w:hint="eastAsia" w:ascii="仿宋_GB2312" w:hAnsi="仿宋_GB2312" w:eastAsia="仿宋_GB2312" w:cs="仿宋_GB2312"/>
          <w:highlight w:val="none"/>
          <w:lang w:val="en-US" w:eastAsia="zh-CN"/>
        </w:rPr>
      </w:pPr>
    </w:p>
    <w:sectPr>
      <w:pgSz w:w="11906" w:h="16838"/>
      <w:pgMar w:top="1304" w:right="1196" w:bottom="1304" w:left="1797" w:header="851" w:footer="992" w:gutter="0"/>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8"/>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7kgItEBAACi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WOI+tCVbcqdQHhzTNhNaTJXGGGnwji6QnNas7wbf/sl6/HX2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O5ICLRAQAAogMAAA4AAAAAAAAAAQAgAAAAHgEAAGRy&#10;cy9lMm9Eb2MueG1sUEsFBgAAAAAGAAYAWQEAAGE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45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center" w:pos="4394"/>
      </w:tabs>
      <w:jc w:val="left"/>
    </w:pPr>
    <w:r>
      <w:rPr>
        <w:rFonts w:hint="eastAsia"/>
      </w:rPr>
      <w:t xml:space="preserve"> </w:t>
    </w:r>
    <w:r>
      <w:rPr>
        <w:rFonts w:hint="eastAsia" w:ascii="华文隶书" w:eastAsia="华文隶书"/>
        <w:u w:val="none"/>
        <w:lang w:eastAsia="zh-CN"/>
      </w:rPr>
      <w:drawing>
        <wp:inline distT="0" distB="0" distL="114300" distR="114300">
          <wp:extent cx="1304290" cy="203200"/>
          <wp:effectExtent l="0" t="0" r="10160" b="6350"/>
          <wp:docPr id="2" name="图片 2" descr="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英文"/>
                  <pic:cNvPicPr>
                    <a:picLocks noChangeAspect="1"/>
                  </pic:cNvPicPr>
                </pic:nvPicPr>
                <pic:blipFill>
                  <a:blip r:embed="rId1"/>
                  <a:stretch>
                    <a:fillRect/>
                  </a:stretch>
                </pic:blipFill>
                <pic:spPr>
                  <a:xfrm>
                    <a:off x="0" y="0"/>
                    <a:ext cx="1304290" cy="203200"/>
                  </a:xfrm>
                  <a:prstGeom prst="rect">
                    <a:avLst/>
                  </a:prstGeom>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rPr>
        <w:rFonts w:hint="eastAsia" w:ascii="华文隶书" w:eastAsia="华文隶书"/>
        <w:u w:val="single"/>
      </w:rPr>
    </w:pPr>
    <w:r>
      <w:rPr>
        <w:rFonts w:hint="eastAsia" w:ascii="华文隶书" w:eastAsia="华文隶书"/>
        <w:u w:val="none"/>
        <w:lang w:eastAsia="zh-CN"/>
      </w:rPr>
      <w:drawing>
        <wp:inline distT="0" distB="0" distL="114300" distR="114300">
          <wp:extent cx="1030605" cy="234950"/>
          <wp:effectExtent l="0" t="0" r="17145" b="12700"/>
          <wp:docPr id="7" name="图片 7" descr="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英文"/>
                  <pic:cNvPicPr>
                    <a:picLocks noChangeAspect="1"/>
                  </pic:cNvPicPr>
                </pic:nvPicPr>
                <pic:blipFill>
                  <a:blip r:embed="rId1"/>
                  <a:stretch>
                    <a:fillRect/>
                  </a:stretch>
                </pic:blipFill>
                <pic:spPr>
                  <a:xfrm>
                    <a:off x="0" y="0"/>
                    <a:ext cx="1030605" cy="23495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r>
      <w:rPr>
        <w:rFonts w:hint="eastAsia" w:ascii="华文隶书" w:eastAsia="华文隶书"/>
        <w:u w:val="none"/>
        <w:lang w:eastAsia="zh-CN"/>
      </w:rPr>
      <w:drawing>
        <wp:inline distT="0" distB="0" distL="114300" distR="114300">
          <wp:extent cx="948055" cy="239395"/>
          <wp:effectExtent l="0" t="0" r="4445" b="8255"/>
          <wp:docPr id="3" name="图片 3" descr="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英文"/>
                  <pic:cNvPicPr>
                    <a:picLocks noChangeAspect="1"/>
                  </pic:cNvPicPr>
                </pic:nvPicPr>
                <pic:blipFill>
                  <a:blip r:embed="rId1"/>
                  <a:stretch>
                    <a:fillRect/>
                  </a:stretch>
                </pic:blipFill>
                <pic:spPr>
                  <a:xfrm>
                    <a:off x="0" y="0"/>
                    <a:ext cx="948055" cy="2393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CB034"/>
    <w:multiLevelType w:val="singleLevel"/>
    <w:tmpl w:val="A8ACB034"/>
    <w:lvl w:ilvl="0" w:tentative="0">
      <w:start w:val="6"/>
      <w:numFmt w:val="chineseCounting"/>
      <w:suff w:val="nothing"/>
      <w:lvlText w:val="%1、"/>
      <w:lvlJc w:val="left"/>
      <w:rPr>
        <w:rFonts w:hint="eastAsia"/>
      </w:rPr>
    </w:lvl>
  </w:abstractNum>
  <w:abstractNum w:abstractNumId="1">
    <w:nsid w:val="274235D4"/>
    <w:multiLevelType w:val="multilevel"/>
    <w:tmpl w:val="274235D4"/>
    <w:lvl w:ilvl="0" w:tentative="0">
      <w:start w:val="1"/>
      <w:numFmt w:val="chineseCountingThousand"/>
      <w:pStyle w:val="5"/>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11C46AE"/>
    <w:multiLevelType w:val="singleLevel"/>
    <w:tmpl w:val="311C46AE"/>
    <w:lvl w:ilvl="0" w:tentative="0">
      <w:start w:val="3"/>
      <w:numFmt w:val="chineseCounting"/>
      <w:suff w:val="nothing"/>
      <w:lvlText w:val="%1、"/>
      <w:lvlJc w:val="left"/>
      <w:rPr>
        <w:rFonts w:hint="eastAsia"/>
      </w:rPr>
    </w:lvl>
  </w:abstractNum>
  <w:abstractNum w:abstractNumId="3">
    <w:nsid w:val="6245542E"/>
    <w:multiLevelType w:val="singleLevel"/>
    <w:tmpl w:val="6245542E"/>
    <w:lvl w:ilvl="0" w:tentative="0">
      <w:start w:val="1"/>
      <w:numFmt w:val="decimal"/>
      <w:suff w:val="nothing"/>
      <w:lvlText w:val="%1、"/>
      <w:lvlJc w:val="left"/>
    </w:lvl>
  </w:abstractNum>
  <w:abstractNum w:abstractNumId="4">
    <w:nsid w:val="63033850"/>
    <w:multiLevelType w:val="multilevel"/>
    <w:tmpl w:val="63033850"/>
    <w:lvl w:ilvl="0" w:tentative="0">
      <w:start w:val="1"/>
      <w:numFmt w:val="chineseCountingThousand"/>
      <w:pStyle w:val="4"/>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6CEA2025"/>
    <w:multiLevelType w:val="multilevel"/>
    <w:tmpl w:val="6CEA2025"/>
    <w:lvl w:ilvl="0" w:tentative="0">
      <w:start w:val="1"/>
      <w:numFmt w:val="none"/>
      <w:pStyle w:val="53"/>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1"/>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TY0OWNkN2Q2M2Y1MzljMGE5MmYyOTQ2MWIzNTcifQ=="/>
    <w:docVar w:name="KSO_WPS_MARK_KEY" w:val="c2a91a3b-36ec-412f-b171-221e36314fca"/>
  </w:docVars>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432D"/>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5F3E"/>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1485"/>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1291D44"/>
    <w:rsid w:val="0227116D"/>
    <w:rsid w:val="024F1C89"/>
    <w:rsid w:val="035717DD"/>
    <w:rsid w:val="035E623A"/>
    <w:rsid w:val="03733E2C"/>
    <w:rsid w:val="038D3451"/>
    <w:rsid w:val="0392040B"/>
    <w:rsid w:val="04C061D4"/>
    <w:rsid w:val="06093262"/>
    <w:rsid w:val="066C37F1"/>
    <w:rsid w:val="074D676B"/>
    <w:rsid w:val="07740BAF"/>
    <w:rsid w:val="07856047"/>
    <w:rsid w:val="088C017B"/>
    <w:rsid w:val="0916659A"/>
    <w:rsid w:val="091A0204"/>
    <w:rsid w:val="097A028B"/>
    <w:rsid w:val="0A032144"/>
    <w:rsid w:val="0A244C7F"/>
    <w:rsid w:val="0A76292B"/>
    <w:rsid w:val="0AD31B17"/>
    <w:rsid w:val="0BA5783E"/>
    <w:rsid w:val="0C656193"/>
    <w:rsid w:val="0C843C81"/>
    <w:rsid w:val="0CB7385C"/>
    <w:rsid w:val="0CE348C9"/>
    <w:rsid w:val="0CFD33F5"/>
    <w:rsid w:val="0D6D3E50"/>
    <w:rsid w:val="0DAB4FFC"/>
    <w:rsid w:val="0E1F6F19"/>
    <w:rsid w:val="0E8D56F4"/>
    <w:rsid w:val="0EA10905"/>
    <w:rsid w:val="0EFB5EDA"/>
    <w:rsid w:val="0F0F285A"/>
    <w:rsid w:val="0F2227D9"/>
    <w:rsid w:val="10B2548A"/>
    <w:rsid w:val="10D91A83"/>
    <w:rsid w:val="11576F21"/>
    <w:rsid w:val="11BA1409"/>
    <w:rsid w:val="12852DB5"/>
    <w:rsid w:val="12B3331A"/>
    <w:rsid w:val="12F52B28"/>
    <w:rsid w:val="133B686E"/>
    <w:rsid w:val="138A0449"/>
    <w:rsid w:val="13B80792"/>
    <w:rsid w:val="13E0137B"/>
    <w:rsid w:val="14B3436F"/>
    <w:rsid w:val="15CF40BD"/>
    <w:rsid w:val="15F27931"/>
    <w:rsid w:val="16C72378"/>
    <w:rsid w:val="16E3365C"/>
    <w:rsid w:val="172747F4"/>
    <w:rsid w:val="173739A8"/>
    <w:rsid w:val="17F846FF"/>
    <w:rsid w:val="18555CBB"/>
    <w:rsid w:val="186C682A"/>
    <w:rsid w:val="19461C80"/>
    <w:rsid w:val="195F017C"/>
    <w:rsid w:val="1A2C1CE2"/>
    <w:rsid w:val="1A5B751A"/>
    <w:rsid w:val="1AD20157"/>
    <w:rsid w:val="1B267FBB"/>
    <w:rsid w:val="1B4D6DB5"/>
    <w:rsid w:val="1BB16DD2"/>
    <w:rsid w:val="1BB33338"/>
    <w:rsid w:val="1BC96E15"/>
    <w:rsid w:val="1C035C40"/>
    <w:rsid w:val="1C5172BA"/>
    <w:rsid w:val="1CD22EF0"/>
    <w:rsid w:val="1D743260"/>
    <w:rsid w:val="1E9D07E5"/>
    <w:rsid w:val="1EA606CA"/>
    <w:rsid w:val="1F2D7B6A"/>
    <w:rsid w:val="1F49313B"/>
    <w:rsid w:val="1F69491A"/>
    <w:rsid w:val="2033078F"/>
    <w:rsid w:val="20377DFD"/>
    <w:rsid w:val="20836E4D"/>
    <w:rsid w:val="209A0797"/>
    <w:rsid w:val="215A5BAE"/>
    <w:rsid w:val="21867423"/>
    <w:rsid w:val="2188552B"/>
    <w:rsid w:val="21BF4CC5"/>
    <w:rsid w:val="221C00D5"/>
    <w:rsid w:val="22372AAE"/>
    <w:rsid w:val="225330A9"/>
    <w:rsid w:val="233C2A06"/>
    <w:rsid w:val="23412E1E"/>
    <w:rsid w:val="23557F33"/>
    <w:rsid w:val="23737DA5"/>
    <w:rsid w:val="23F03B8A"/>
    <w:rsid w:val="24013373"/>
    <w:rsid w:val="240377AC"/>
    <w:rsid w:val="2417728C"/>
    <w:rsid w:val="241F55C1"/>
    <w:rsid w:val="243F424C"/>
    <w:rsid w:val="24FC6C81"/>
    <w:rsid w:val="25257522"/>
    <w:rsid w:val="252A2C08"/>
    <w:rsid w:val="25A7573E"/>
    <w:rsid w:val="25E226DE"/>
    <w:rsid w:val="26EE2DCF"/>
    <w:rsid w:val="26F705CC"/>
    <w:rsid w:val="276B3545"/>
    <w:rsid w:val="27DE245D"/>
    <w:rsid w:val="27F85C25"/>
    <w:rsid w:val="284B6F8F"/>
    <w:rsid w:val="287B24CA"/>
    <w:rsid w:val="28F72F97"/>
    <w:rsid w:val="29BA649E"/>
    <w:rsid w:val="2A4977E5"/>
    <w:rsid w:val="2A5935BA"/>
    <w:rsid w:val="2B0A2B3A"/>
    <w:rsid w:val="2C0D182C"/>
    <w:rsid w:val="2C405D37"/>
    <w:rsid w:val="2C705B4E"/>
    <w:rsid w:val="2CA10679"/>
    <w:rsid w:val="2CC94C4A"/>
    <w:rsid w:val="2DB24D18"/>
    <w:rsid w:val="2DE47F8D"/>
    <w:rsid w:val="2DE70382"/>
    <w:rsid w:val="2E6933CE"/>
    <w:rsid w:val="2F1C0A32"/>
    <w:rsid w:val="2F9C512E"/>
    <w:rsid w:val="2FE145B7"/>
    <w:rsid w:val="3083506F"/>
    <w:rsid w:val="30AC28B9"/>
    <w:rsid w:val="315A6C33"/>
    <w:rsid w:val="320D55D9"/>
    <w:rsid w:val="32562521"/>
    <w:rsid w:val="327562D0"/>
    <w:rsid w:val="32981347"/>
    <w:rsid w:val="333C5CC7"/>
    <w:rsid w:val="3356384F"/>
    <w:rsid w:val="337C65A9"/>
    <w:rsid w:val="3413745B"/>
    <w:rsid w:val="34B925F5"/>
    <w:rsid w:val="34D41EF2"/>
    <w:rsid w:val="352200A5"/>
    <w:rsid w:val="35E326CC"/>
    <w:rsid w:val="36BA7835"/>
    <w:rsid w:val="36C0489E"/>
    <w:rsid w:val="386F3E19"/>
    <w:rsid w:val="38A47B72"/>
    <w:rsid w:val="39182CB5"/>
    <w:rsid w:val="39641F82"/>
    <w:rsid w:val="397856D5"/>
    <w:rsid w:val="397D0FAB"/>
    <w:rsid w:val="397F54F3"/>
    <w:rsid w:val="398D5B91"/>
    <w:rsid w:val="3A5913BB"/>
    <w:rsid w:val="3A8D4A81"/>
    <w:rsid w:val="3AD02427"/>
    <w:rsid w:val="3B291BAE"/>
    <w:rsid w:val="3B6B0F57"/>
    <w:rsid w:val="3BC211E2"/>
    <w:rsid w:val="3C001EFF"/>
    <w:rsid w:val="3D285A69"/>
    <w:rsid w:val="3D585E4B"/>
    <w:rsid w:val="3DEA3D49"/>
    <w:rsid w:val="3E09798D"/>
    <w:rsid w:val="3E1B747E"/>
    <w:rsid w:val="40970E8F"/>
    <w:rsid w:val="40AB4647"/>
    <w:rsid w:val="40C5114B"/>
    <w:rsid w:val="40D45F54"/>
    <w:rsid w:val="41332230"/>
    <w:rsid w:val="414576D0"/>
    <w:rsid w:val="415B2AF5"/>
    <w:rsid w:val="417E656E"/>
    <w:rsid w:val="436D2F31"/>
    <w:rsid w:val="4387716F"/>
    <w:rsid w:val="438C6832"/>
    <w:rsid w:val="43D93664"/>
    <w:rsid w:val="44194341"/>
    <w:rsid w:val="448A2B25"/>
    <w:rsid w:val="45067AA4"/>
    <w:rsid w:val="459C6F06"/>
    <w:rsid w:val="45FD79E7"/>
    <w:rsid w:val="464E32D8"/>
    <w:rsid w:val="46963997"/>
    <w:rsid w:val="46B06807"/>
    <w:rsid w:val="470F050E"/>
    <w:rsid w:val="4715169C"/>
    <w:rsid w:val="47280A93"/>
    <w:rsid w:val="47340319"/>
    <w:rsid w:val="47346766"/>
    <w:rsid w:val="47836D5B"/>
    <w:rsid w:val="47AA60EA"/>
    <w:rsid w:val="481B7F9D"/>
    <w:rsid w:val="494C19C8"/>
    <w:rsid w:val="49893C59"/>
    <w:rsid w:val="49E7359A"/>
    <w:rsid w:val="4A6F69D9"/>
    <w:rsid w:val="4A853D64"/>
    <w:rsid w:val="4A914B96"/>
    <w:rsid w:val="4ABA34DB"/>
    <w:rsid w:val="4B3905A1"/>
    <w:rsid w:val="4B637A5E"/>
    <w:rsid w:val="4BF317FE"/>
    <w:rsid w:val="4C051387"/>
    <w:rsid w:val="4C4F261E"/>
    <w:rsid w:val="4C575E0B"/>
    <w:rsid w:val="4C743B87"/>
    <w:rsid w:val="4CB62729"/>
    <w:rsid w:val="4D012B8E"/>
    <w:rsid w:val="4DE73C97"/>
    <w:rsid w:val="4DFD49F8"/>
    <w:rsid w:val="4FE16CD1"/>
    <w:rsid w:val="50D17B68"/>
    <w:rsid w:val="510346A9"/>
    <w:rsid w:val="51490FC4"/>
    <w:rsid w:val="515C0B28"/>
    <w:rsid w:val="530B2009"/>
    <w:rsid w:val="53FE4094"/>
    <w:rsid w:val="540208BE"/>
    <w:rsid w:val="54163776"/>
    <w:rsid w:val="54420C29"/>
    <w:rsid w:val="55130E86"/>
    <w:rsid w:val="558B4B58"/>
    <w:rsid w:val="559D1D4F"/>
    <w:rsid w:val="55B31E70"/>
    <w:rsid w:val="55CA565F"/>
    <w:rsid w:val="561C14A5"/>
    <w:rsid w:val="564E5072"/>
    <w:rsid w:val="56C47CCD"/>
    <w:rsid w:val="56DF29D4"/>
    <w:rsid w:val="56FE1AAD"/>
    <w:rsid w:val="57437E3C"/>
    <w:rsid w:val="57476259"/>
    <w:rsid w:val="578D300D"/>
    <w:rsid w:val="582C5F09"/>
    <w:rsid w:val="586A5734"/>
    <w:rsid w:val="586E15BB"/>
    <w:rsid w:val="58B117B2"/>
    <w:rsid w:val="58DB2B00"/>
    <w:rsid w:val="58FA7A88"/>
    <w:rsid w:val="5A4B36A6"/>
    <w:rsid w:val="5AC335AB"/>
    <w:rsid w:val="5ADF3283"/>
    <w:rsid w:val="5AE24328"/>
    <w:rsid w:val="5B7B6C9E"/>
    <w:rsid w:val="5B92239B"/>
    <w:rsid w:val="5BFF6E3C"/>
    <w:rsid w:val="5C5A1297"/>
    <w:rsid w:val="5C685237"/>
    <w:rsid w:val="5D1F618F"/>
    <w:rsid w:val="5DF275EC"/>
    <w:rsid w:val="5DF748C4"/>
    <w:rsid w:val="5E2D6D34"/>
    <w:rsid w:val="5EA70098"/>
    <w:rsid w:val="5F5D3118"/>
    <w:rsid w:val="5FAB005C"/>
    <w:rsid w:val="5FD96977"/>
    <w:rsid w:val="5FE67F7E"/>
    <w:rsid w:val="6105657E"/>
    <w:rsid w:val="61132A6C"/>
    <w:rsid w:val="611D6D37"/>
    <w:rsid w:val="61537FD5"/>
    <w:rsid w:val="616A6527"/>
    <w:rsid w:val="61904685"/>
    <w:rsid w:val="61927BD4"/>
    <w:rsid w:val="61972B22"/>
    <w:rsid w:val="61D07906"/>
    <w:rsid w:val="61FA4F5A"/>
    <w:rsid w:val="620374FB"/>
    <w:rsid w:val="62167108"/>
    <w:rsid w:val="62325D1C"/>
    <w:rsid w:val="62C77FFD"/>
    <w:rsid w:val="62CD3433"/>
    <w:rsid w:val="63224191"/>
    <w:rsid w:val="63BA6ABF"/>
    <w:rsid w:val="63C8294E"/>
    <w:rsid w:val="644C1597"/>
    <w:rsid w:val="646C6BA9"/>
    <w:rsid w:val="651946DF"/>
    <w:rsid w:val="65387C9C"/>
    <w:rsid w:val="67323A20"/>
    <w:rsid w:val="67500DC2"/>
    <w:rsid w:val="681E0960"/>
    <w:rsid w:val="68371D07"/>
    <w:rsid w:val="68DE688E"/>
    <w:rsid w:val="690826A9"/>
    <w:rsid w:val="691A080B"/>
    <w:rsid w:val="699D02AC"/>
    <w:rsid w:val="6A301889"/>
    <w:rsid w:val="6A460416"/>
    <w:rsid w:val="6A66626C"/>
    <w:rsid w:val="6C20148A"/>
    <w:rsid w:val="6DBE472E"/>
    <w:rsid w:val="6DC2645E"/>
    <w:rsid w:val="6DD62748"/>
    <w:rsid w:val="6DFF71BC"/>
    <w:rsid w:val="6E4C530D"/>
    <w:rsid w:val="6E6E69D9"/>
    <w:rsid w:val="6F455C13"/>
    <w:rsid w:val="70AF6CFA"/>
    <w:rsid w:val="70C745CA"/>
    <w:rsid w:val="70E91D65"/>
    <w:rsid w:val="71194C27"/>
    <w:rsid w:val="71741C7A"/>
    <w:rsid w:val="71751D37"/>
    <w:rsid w:val="71E371E1"/>
    <w:rsid w:val="72991B8F"/>
    <w:rsid w:val="73051898"/>
    <w:rsid w:val="7364560B"/>
    <w:rsid w:val="73836ECE"/>
    <w:rsid w:val="743F48DF"/>
    <w:rsid w:val="7577036C"/>
    <w:rsid w:val="75A33541"/>
    <w:rsid w:val="76FA2E38"/>
    <w:rsid w:val="771E0752"/>
    <w:rsid w:val="772F7AEA"/>
    <w:rsid w:val="77AA5535"/>
    <w:rsid w:val="78414A83"/>
    <w:rsid w:val="784A1A9F"/>
    <w:rsid w:val="78D02ADA"/>
    <w:rsid w:val="78F97DFC"/>
    <w:rsid w:val="79312759"/>
    <w:rsid w:val="794B3FEA"/>
    <w:rsid w:val="7A11042A"/>
    <w:rsid w:val="7A8772A3"/>
    <w:rsid w:val="7AF74E80"/>
    <w:rsid w:val="7BA7224E"/>
    <w:rsid w:val="7C03516B"/>
    <w:rsid w:val="7C613B24"/>
    <w:rsid w:val="7C8D4919"/>
    <w:rsid w:val="7CB021C1"/>
    <w:rsid w:val="7CFA4A24"/>
    <w:rsid w:val="7D0773EC"/>
    <w:rsid w:val="7D3E3E65"/>
    <w:rsid w:val="7DA068E5"/>
    <w:rsid w:val="7DE961DA"/>
    <w:rsid w:val="7E1F2630"/>
    <w:rsid w:val="7E3407CB"/>
    <w:rsid w:val="7EFE28E7"/>
    <w:rsid w:val="7F5D2A9B"/>
    <w:rsid w:val="7FD40E3B"/>
    <w:rsid w:val="7FE231CE"/>
    <w:rsid w:val="7FFC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5">
    <w:name w:val="heading 2"/>
    <w:basedOn w:val="1"/>
    <w:next w:val="1"/>
    <w:link w:val="32"/>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paragraph" w:styleId="8">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99"/>
    <w:pPr>
      <w:tabs>
        <w:tab w:val="left" w:pos="720"/>
        <w:tab w:val="left" w:pos="1440"/>
        <w:tab w:val="left" w:pos="2160"/>
        <w:tab w:val="left" w:pos="2880"/>
        <w:tab w:val="left" w:pos="3600"/>
        <w:tab w:val="left" w:pos="4321"/>
        <w:tab w:val="left" w:pos="5041"/>
        <w:tab w:val="left" w:pos="5761"/>
        <w:tab w:val="left" w:pos="6481"/>
        <w:tab w:val="left" w:pos="7201"/>
        <w:tab w:val="left" w:pos="7921"/>
      </w:tabs>
      <w:ind w:firstLine="420" w:firstLineChars="100"/>
    </w:pPr>
  </w:style>
  <w:style w:type="paragraph" w:styleId="9">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10">
    <w:name w:val="annotation text"/>
    <w:basedOn w:val="1"/>
    <w:link w:val="38"/>
    <w:semiHidden/>
    <w:qFormat/>
    <w:uiPriority w:val="99"/>
    <w:pPr>
      <w:jc w:val="left"/>
    </w:pPr>
  </w:style>
  <w:style w:type="paragraph" w:styleId="11">
    <w:name w:val="Salutation"/>
    <w:basedOn w:val="1"/>
    <w:next w:val="1"/>
    <w:qFormat/>
    <w:uiPriority w:val="0"/>
    <w:rPr>
      <w:rFonts w:ascii="ˎ̥" w:hAnsi="ˎ̥" w:cs="宋体"/>
      <w:kern w:val="0"/>
      <w:sz w:val="28"/>
      <w:szCs w:val="28"/>
    </w:rPr>
  </w:style>
  <w:style w:type="paragraph" w:styleId="12">
    <w:name w:val="Body Text Indent"/>
    <w:basedOn w:val="1"/>
    <w:qFormat/>
    <w:uiPriority w:val="0"/>
    <w:pPr>
      <w:snapToGrid w:val="0"/>
      <w:spacing w:after="120" w:line="440" w:lineRule="atLeast"/>
      <w:ind w:left="420" w:leftChars="200" w:firstLine="480" w:firstLineChars="200"/>
    </w:pPr>
    <w:rPr>
      <w:sz w:val="24"/>
    </w:rPr>
  </w:style>
  <w:style w:type="paragraph" w:styleId="13">
    <w:name w:val="Plain Text"/>
    <w:basedOn w:val="1"/>
    <w:link w:val="35"/>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4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4"/>
    <w:basedOn w:val="1"/>
    <w:next w:val="1"/>
    <w:qFormat/>
    <w:uiPriority w:val="0"/>
    <w:pPr>
      <w:ind w:left="720"/>
      <w:jc w:val="left"/>
    </w:pPr>
    <w:rPr>
      <w:sz w:val="18"/>
      <w:szCs w:val="18"/>
    </w:rPr>
  </w:style>
  <w:style w:type="paragraph" w:styleId="20">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21">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2">
    <w:name w:val="annotation subject"/>
    <w:basedOn w:val="10"/>
    <w:next w:val="10"/>
    <w:semiHidden/>
    <w:qFormat/>
    <w:uiPriority w:val="0"/>
    <w:rPr>
      <w:b/>
      <w:bCs/>
    </w:rPr>
  </w:style>
  <w:style w:type="paragraph" w:styleId="23">
    <w:name w:val="Body Text First Indent 2"/>
    <w:basedOn w:val="1"/>
    <w:next w:val="1"/>
    <w:qFormat/>
    <w:uiPriority w:val="0"/>
    <w:pPr>
      <w:spacing w:after="120"/>
      <w:ind w:left="420" w:leftChars="200" w:firstLine="420" w:firstLineChars="200"/>
    </w:pPr>
    <w:rPr>
      <w:sz w:val="21"/>
    </w:rPr>
  </w:style>
  <w:style w:type="table" w:styleId="25">
    <w:name w:val="Table Grid"/>
    <w:basedOn w:val="2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qFormat/>
    <w:uiPriority w:val="0"/>
    <w:rPr>
      <w:color w:val="282828"/>
      <w:sz w:val="18"/>
      <w:szCs w:val="18"/>
      <w:u w:val="none"/>
    </w:rPr>
  </w:style>
  <w:style w:type="character" w:styleId="30">
    <w:name w:val="Hyperlink"/>
    <w:qFormat/>
    <w:uiPriority w:val="99"/>
    <w:rPr>
      <w:color w:val="0000FF"/>
      <w:u w:val="single"/>
    </w:rPr>
  </w:style>
  <w:style w:type="character" w:styleId="31">
    <w:name w:val="annotation reference"/>
    <w:semiHidden/>
    <w:qFormat/>
    <w:uiPriority w:val="99"/>
    <w:rPr>
      <w:sz w:val="21"/>
      <w:szCs w:val="21"/>
    </w:rPr>
  </w:style>
  <w:style w:type="character" w:customStyle="1" w:styleId="32">
    <w:name w:val="标题 2 Char"/>
    <w:link w:val="5"/>
    <w:qFormat/>
    <w:uiPriority w:val="0"/>
    <w:rPr>
      <w:rFonts w:ascii="黑体" w:eastAsia="黑体"/>
      <w:b/>
      <w:sz w:val="24"/>
      <w:szCs w:val="24"/>
    </w:rPr>
  </w:style>
  <w:style w:type="paragraph" w:customStyle="1" w:styleId="33">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4">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5">
    <w:name w:val="纯文本 Char"/>
    <w:link w:val="13"/>
    <w:qFormat/>
    <w:locked/>
    <w:uiPriority w:val="0"/>
    <w:rPr>
      <w:rFonts w:eastAsia="宋体" w:cs="Courier New"/>
      <w:sz w:val="21"/>
      <w:szCs w:val="21"/>
      <w:lang w:val="en-US" w:eastAsia="zh-CN" w:bidi="ar-SA"/>
    </w:rPr>
  </w:style>
  <w:style w:type="character" w:customStyle="1" w:styleId="36">
    <w:name w:val="页眉 Char"/>
    <w:qFormat/>
    <w:uiPriority w:val="0"/>
    <w:rPr>
      <w:rFonts w:eastAsia="宋体"/>
      <w:kern w:val="2"/>
      <w:sz w:val="18"/>
      <w:szCs w:val="18"/>
      <w:lang w:val="en-US" w:eastAsia="zh-CN" w:bidi="ar-SA"/>
    </w:rPr>
  </w:style>
  <w:style w:type="paragraph" w:customStyle="1" w:styleId="37">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8">
    <w:name w:val="批注文字 Char"/>
    <w:link w:val="10"/>
    <w:semiHidden/>
    <w:qFormat/>
    <w:uiPriority w:val="99"/>
    <w:rPr>
      <w:kern w:val="2"/>
      <w:sz w:val="21"/>
      <w:szCs w:val="24"/>
    </w:rPr>
  </w:style>
  <w:style w:type="character" w:customStyle="1" w:styleId="39">
    <w:name w:val="apple-converted-space"/>
    <w:basedOn w:val="26"/>
    <w:qFormat/>
    <w:uiPriority w:val="0"/>
  </w:style>
  <w:style w:type="paragraph" w:customStyle="1" w:styleId="40">
    <w:name w:val="List Paragraph"/>
    <w:basedOn w:val="1"/>
    <w:qFormat/>
    <w:uiPriority w:val="99"/>
    <w:pPr>
      <w:ind w:firstLine="420" w:firstLineChars="200"/>
    </w:pPr>
    <w:rPr>
      <w:szCs w:val="21"/>
    </w:rPr>
  </w:style>
  <w:style w:type="character" w:customStyle="1" w:styleId="41">
    <w:name w:val="页脚 Char"/>
    <w:basedOn w:val="26"/>
    <w:link w:val="16"/>
    <w:qFormat/>
    <w:uiPriority w:val="99"/>
    <w:rPr>
      <w:kern w:val="2"/>
      <w:sz w:val="18"/>
      <w:szCs w:val="18"/>
    </w:rPr>
  </w:style>
  <w:style w:type="paragraph" w:customStyle="1" w:styleId="4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3">
    <w:name w:val="Body text|1"/>
    <w:basedOn w:val="1"/>
    <w:qFormat/>
    <w:uiPriority w:val="0"/>
    <w:pPr>
      <w:widowControl w:val="0"/>
      <w:shd w:val="clear" w:color="auto" w:fill="auto"/>
      <w:spacing w:line="446" w:lineRule="auto"/>
      <w:ind w:firstLine="400"/>
    </w:pPr>
    <w:rPr>
      <w:rFonts w:ascii="宋体" w:hAnsi="宋体" w:eastAsia="宋体" w:cs="宋体"/>
      <w:sz w:val="22"/>
      <w:szCs w:val="22"/>
      <w:u w:val="none"/>
      <w:shd w:val="clear" w:color="auto" w:fill="auto"/>
      <w:lang w:val="zh-TW" w:eastAsia="zh-TW" w:bidi="zh-TW"/>
    </w:rPr>
  </w:style>
  <w:style w:type="paragraph" w:customStyle="1" w:styleId="44">
    <w:name w:val="_Style 4"/>
    <w:basedOn w:val="4"/>
    <w:next w:val="1"/>
    <w:qFormat/>
    <w:uiPriority w:val="39"/>
    <w:pPr>
      <w:spacing w:before="480" w:after="0" w:line="276" w:lineRule="auto"/>
      <w:outlineLvl w:val="9"/>
    </w:pPr>
    <w:rPr>
      <w:rFonts w:ascii="Cambria" w:hAnsi="Cambria" w:eastAsia="宋体" w:cs="Times New Roman"/>
      <w:color w:val="365F91"/>
      <w:kern w:val="0"/>
      <w:sz w:val="28"/>
      <w:szCs w:val="28"/>
    </w:rPr>
  </w:style>
  <w:style w:type="paragraph" w:customStyle="1" w:styleId="45">
    <w:name w:val="样式 标题 1 + 黑体 三号 非加粗 居中 段前: 6 磅 段后: 6 磅 行距: 固定值 20 磅"/>
    <w:basedOn w:val="4"/>
    <w:qFormat/>
    <w:uiPriority w:val="0"/>
    <w:pPr>
      <w:keepNext/>
      <w:keepLines/>
      <w:spacing w:before="120" w:line="400" w:lineRule="exact"/>
      <w:jc w:val="center"/>
    </w:pPr>
    <w:rPr>
      <w:rFonts w:ascii="黑体" w:hAnsi="黑体" w:eastAsia="黑体" w:cs="宋体"/>
      <w:b w:val="0"/>
      <w:sz w:val="32"/>
      <w:szCs w:val="20"/>
    </w:rPr>
  </w:style>
  <w:style w:type="paragraph" w:customStyle="1" w:styleId="46">
    <w:name w:val="文章正文"/>
    <w:basedOn w:val="1"/>
    <w:next w:val="1"/>
    <w:qFormat/>
    <w:uiPriority w:val="0"/>
    <w:pPr>
      <w:spacing w:line="360" w:lineRule="auto"/>
      <w:ind w:firstLine="480"/>
    </w:pPr>
    <w:rPr>
      <w:rFonts w:hAnsi="宋体" w:eastAsia="宋体" w:cs="宋体"/>
      <w:sz w:val="24"/>
    </w:rPr>
  </w:style>
  <w:style w:type="paragraph" w:customStyle="1" w:styleId="47">
    <w:name w:val="_Style 3"/>
    <w:basedOn w:val="1"/>
    <w:qFormat/>
    <w:uiPriority w:val="0"/>
    <w:pPr>
      <w:ind w:firstLine="420" w:firstLineChars="200"/>
    </w:pPr>
  </w:style>
  <w:style w:type="paragraph" w:customStyle="1" w:styleId="48">
    <w:name w:val="Default Text"/>
    <w:basedOn w:val="1"/>
    <w:qFormat/>
    <w:uiPriority w:val="0"/>
    <w:pPr>
      <w:widowControl/>
      <w:overflowPunct w:val="0"/>
      <w:autoSpaceDE w:val="0"/>
      <w:autoSpaceDN w:val="0"/>
      <w:adjustRightInd w:val="0"/>
      <w:jc w:val="left"/>
      <w:textAlignment w:val="baseline"/>
    </w:pPr>
    <w:rPr>
      <w:kern w:val="0"/>
      <w:sz w:val="24"/>
    </w:rPr>
  </w:style>
  <w:style w:type="paragraph" w:customStyle="1" w:styleId="49">
    <w:name w:val="标题 2（正文）"/>
    <w:basedOn w:val="5"/>
    <w:next w:val="50"/>
    <w:qFormat/>
    <w:uiPriority w:val="0"/>
    <w:pPr>
      <w:keepNext w:val="0"/>
      <w:keepLines w:val="0"/>
      <w:tabs>
        <w:tab w:val="clear" w:pos="480"/>
      </w:tabs>
      <w:adjustRightInd/>
      <w:spacing w:before="0" w:beforeLines="0" w:after="0" w:afterLines="0" w:line="400" w:lineRule="atLeast"/>
      <w:jc w:val="both"/>
      <w:textAlignment w:val="auto"/>
    </w:pPr>
    <w:rPr>
      <w:rFonts w:eastAsia="宋体"/>
      <w:color w:val="auto"/>
      <w:kern w:val="2"/>
      <w:sz w:val="24"/>
    </w:rPr>
  </w:style>
  <w:style w:type="paragraph" w:customStyle="1" w:styleId="50">
    <w:name w:val="小四（首行缩进）"/>
    <w:basedOn w:val="1"/>
    <w:qFormat/>
    <w:uiPriority w:val="0"/>
    <w:pPr>
      <w:adjustRightInd/>
      <w:spacing w:before="0" w:beforeLines="0" w:after="0" w:afterLines="0" w:line="400" w:lineRule="atLeast"/>
      <w:ind w:left="0" w:firstLine="480" w:firstLineChars="200"/>
      <w:jc w:val="both"/>
      <w:textAlignment w:val="auto"/>
    </w:pPr>
    <w:rPr>
      <w:kern w:val="2"/>
    </w:rPr>
  </w:style>
  <w:style w:type="paragraph" w:customStyle="1" w:styleId="51">
    <w:name w:val="小四居中"/>
    <w:basedOn w:val="1"/>
    <w:qFormat/>
    <w:uiPriority w:val="0"/>
    <w:pPr>
      <w:adjustRightInd/>
      <w:spacing w:before="0" w:beforeLines="0" w:after="0" w:afterLines="0"/>
      <w:ind w:left="0"/>
      <w:jc w:val="center"/>
      <w:textAlignment w:val="auto"/>
    </w:pPr>
    <w:rPr>
      <w:kern w:val="2"/>
    </w:rPr>
  </w:style>
  <w:style w:type="paragraph" w:customStyle="1" w:styleId="52">
    <w:name w:val="附录标识"/>
    <w:basedOn w:val="53"/>
    <w:qFormat/>
    <w:uiPriority w:val="0"/>
    <w:pPr>
      <w:numPr>
        <w:ilvl w:val="0"/>
        <w:numId w:val="0"/>
      </w:numPr>
      <w:tabs>
        <w:tab w:val="left" w:pos="6405"/>
      </w:tabs>
      <w:spacing w:line="300" w:lineRule="auto"/>
      <w:ind w:left="0" w:firstLine="0"/>
    </w:pPr>
    <w:rPr>
      <w:rFonts w:ascii="Arial" w:hAnsi="Arial"/>
      <w:sz w:val="21"/>
      <w:szCs w:val="21"/>
    </w:rPr>
  </w:style>
  <w:style w:type="paragraph" w:customStyle="1" w:styleId="5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9068</Words>
  <Characters>9475</Characters>
  <Lines>111</Lines>
  <Paragraphs>31</Paragraphs>
  <TotalTime>3</TotalTime>
  <ScaleCrop>false</ScaleCrop>
  <LinksUpToDate>false</LinksUpToDate>
  <CharactersWithSpaces>11780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低＆调</cp:lastModifiedBy>
  <cp:lastPrinted>2022-06-10T07:31:00Z</cp:lastPrinted>
  <dcterms:modified xsi:type="dcterms:W3CDTF">2024-02-01T02:12:54Z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598A3AB928DB40BF97AF00380B4E7538_13</vt:lpwstr>
  </property>
</Properties>
</file>